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Calibri" w:cs="Calibri" w:eastAsia="Calibri" w:hAnsi="Calibri"/>
          <w:b w:val="1"/>
        </w:rPr>
      </w:pPr>
      <w:r w:rsidDel="00000000" w:rsidR="00000000" w:rsidRPr="00000000">
        <w:rPr>
          <w:rtl w:val="0"/>
        </w:rPr>
      </w:r>
    </w:p>
    <w:p w:rsidR="00000000" w:rsidDel="00000000" w:rsidP="00000000" w:rsidRDefault="00000000" w:rsidRPr="00000000" w14:paraId="00000002">
      <w:pPr>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Tamil Nadu tops in prisons, 13th in police, reveals India Justice Report 2025</w:t>
      </w:r>
    </w:p>
    <w:p w:rsidR="00000000" w:rsidDel="00000000" w:rsidP="00000000" w:rsidRDefault="00000000" w:rsidRPr="00000000" w14:paraId="00000003">
      <w:pPr>
        <w:rPr>
          <w:rFonts w:ascii="Calibri" w:cs="Calibri" w:eastAsia="Calibri" w:hAnsi="Calibri"/>
          <w:b w:val="1"/>
        </w:rPr>
      </w:pPr>
      <w:r w:rsidDel="00000000" w:rsidR="00000000" w:rsidRPr="00000000">
        <w:rPr>
          <w:rtl w:val="0"/>
        </w:rPr>
      </w:r>
    </w:p>
    <w:p w:rsidR="00000000" w:rsidDel="00000000" w:rsidP="00000000" w:rsidRDefault="00000000" w:rsidRPr="00000000" w14:paraId="00000004">
      <w:pPr>
        <w:spacing w:line="240" w:lineRule="auto"/>
        <w:rPr>
          <w:rFonts w:ascii="Calibri" w:cs="Calibri" w:eastAsia="Calibri" w:hAnsi="Calibri"/>
          <w:b w:val="1"/>
          <w:i w:val="1"/>
        </w:rPr>
      </w:pPr>
      <w:r w:rsidDel="00000000" w:rsidR="00000000" w:rsidRPr="00000000">
        <w:rPr>
          <w:rFonts w:ascii="Calibri" w:cs="Calibri" w:eastAsia="Calibri" w:hAnsi="Calibri"/>
          <w:b w:val="1"/>
          <w:i w:val="1"/>
          <w:rtl w:val="0"/>
        </w:rPr>
        <w:t xml:space="preserve">Some encouraging improvements:</w:t>
      </w:r>
    </w:p>
    <w:p w:rsidR="00000000" w:rsidDel="00000000" w:rsidP="00000000" w:rsidRDefault="00000000" w:rsidRPr="00000000" w14:paraId="00000005">
      <w:pPr>
        <w:numPr>
          <w:ilvl w:val="0"/>
          <w:numId w:val="7"/>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Tamil Nadu retained its top position in prisons, with increased budget allocation and 100% utilisation. </w:t>
      </w:r>
    </w:p>
    <w:p w:rsidR="00000000" w:rsidDel="00000000" w:rsidP="00000000" w:rsidRDefault="00000000" w:rsidRPr="00000000" w14:paraId="00000006">
      <w:pPr>
        <w:numPr>
          <w:ilvl w:val="0"/>
          <w:numId w:val="7"/>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It has among the lowest staff vacancies in prisons nationwide; with 22 inmates per officer it has the best officer workload among all large states </w:t>
      </w:r>
    </w:p>
    <w:p w:rsidR="00000000" w:rsidDel="00000000" w:rsidP="00000000" w:rsidRDefault="00000000" w:rsidRPr="00000000" w14:paraId="00000007">
      <w:pPr>
        <w:numPr>
          <w:ilvl w:val="0"/>
          <w:numId w:val="7"/>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Judiciary continued to perform well, reducing vacancies by half in the High Court and increasing its per capita spend </w:t>
      </w:r>
    </w:p>
    <w:p w:rsidR="00000000" w:rsidDel="00000000" w:rsidP="00000000" w:rsidRDefault="00000000" w:rsidRPr="00000000" w14:paraId="00000008">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9">
      <w:pPr>
        <w:spacing w:line="240" w:lineRule="auto"/>
        <w:rPr>
          <w:rFonts w:ascii="Calibri" w:cs="Calibri" w:eastAsia="Calibri" w:hAnsi="Calibri"/>
          <w:b w:val="1"/>
          <w:i w:val="1"/>
        </w:rPr>
      </w:pPr>
      <w:r w:rsidDel="00000000" w:rsidR="00000000" w:rsidRPr="00000000">
        <w:rPr>
          <w:rFonts w:ascii="Calibri" w:cs="Calibri" w:eastAsia="Calibri" w:hAnsi="Calibri"/>
          <w:b w:val="1"/>
          <w:i w:val="1"/>
          <w:rtl w:val="0"/>
        </w:rPr>
        <w:t xml:space="preserve">Persistent lacunae:</w:t>
      </w:r>
    </w:p>
    <w:p w:rsidR="00000000" w:rsidDel="00000000" w:rsidP="00000000" w:rsidRDefault="00000000" w:rsidRPr="00000000" w14:paraId="0000000A">
      <w:pPr>
        <w:numPr>
          <w:ilvl w:val="0"/>
          <w:numId w:val="6"/>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It fell substantially in Police, from the 6th position in IJR 3 to now the 13th, owing to poor performance on budgetary and training indicators.  </w:t>
      </w:r>
    </w:p>
    <w:p w:rsidR="00000000" w:rsidDel="00000000" w:rsidP="00000000" w:rsidRDefault="00000000" w:rsidRPr="00000000" w14:paraId="0000000B">
      <w:pPr>
        <w:numPr>
          <w:ilvl w:val="0"/>
          <w:numId w:val="6"/>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Continues to fare poorly in Legal Aid, dropping from 12th to the 16th position with low budgets and fewer paralegal volunteers </w:t>
      </w:r>
    </w:p>
    <w:p w:rsidR="00000000" w:rsidDel="00000000" w:rsidP="00000000" w:rsidRDefault="00000000" w:rsidRPr="00000000" w14:paraId="0000000C">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0D">
      <w:pPr>
        <w:spacing w:line="240" w:lineRule="auto"/>
        <w:jc w:val="both"/>
        <w:rPr>
          <w:rFonts w:ascii="Calibri" w:cs="Calibri" w:eastAsia="Calibri" w:hAnsi="Calibri"/>
        </w:rPr>
      </w:pPr>
      <w:r w:rsidDel="00000000" w:rsidR="00000000" w:rsidRPr="00000000">
        <w:rPr>
          <w:rFonts w:ascii="Calibri" w:cs="Calibri" w:eastAsia="Calibri" w:hAnsi="Calibri"/>
          <w:b w:val="1"/>
          <w:rtl w:val="0"/>
        </w:rPr>
        <w:t xml:space="preserve">15 April, Chennai:</w:t>
      </w:r>
      <w:r w:rsidDel="00000000" w:rsidR="00000000" w:rsidRPr="00000000">
        <w:rPr>
          <w:rFonts w:ascii="Calibri" w:cs="Calibri" w:eastAsia="Calibri" w:hAnsi="Calibri"/>
          <w:rtl w:val="0"/>
        </w:rPr>
        <w:t xml:space="preserve"> The 2025 India Justice Report (IJR), India’s only ranking of states on delivery of justice in the country, released today, ranks Tamil Nadu 5th (2022: 2nd) among the 18 Large and Mid-sized states (with populations of over one crore each), with the 1st rank in Prisons but 13th in Police because of no utilisation of modernisation funds, no budget allocation or expenditure for training of police personnel, and a three-fold increase in officer vacancies.</w:t>
      </w:r>
    </w:p>
    <w:p w:rsidR="00000000" w:rsidDel="00000000" w:rsidP="00000000" w:rsidRDefault="00000000" w:rsidRPr="00000000" w14:paraId="0000000E">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0F">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The top overall position was retained by Karnataka, followed by Andhra Pradesh, climbing from fifth in 2022 to second, Telangana (2022 ranking: 3rd), and Kerala (2022 ranking: 6th). Among the seven small states (with populations less than one crore each), Sikkim (2022: 1st) ranked first, followed by Himachal Pradesh (2022: 6th) and Arunachal Pradesh (2022: 2nd).</w:t>
      </w:r>
    </w:p>
    <w:p w:rsidR="00000000" w:rsidDel="00000000" w:rsidP="00000000" w:rsidRDefault="00000000" w:rsidRPr="00000000" w14:paraId="00000010">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11">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The India Justice Report (IJR) was first initiated by Tata Trusts, with the first ever ranking published in 2019. This is the fourth edition of the report, in collaboration with partners including the Centre for Social Justice, Common Cause, Commonwealth Human Rights Initiative, DAKSH, TISS–Prayas, Vidhi Centre for Legal Policy, and How India Lives, IJR’s data partner. </w:t>
      </w:r>
    </w:p>
    <w:p w:rsidR="00000000" w:rsidDel="00000000" w:rsidP="00000000" w:rsidRDefault="00000000" w:rsidRPr="00000000" w14:paraId="00000012">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13">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Through a rigorous 24-month quantitative research, the IJR 2025, similar to the previous three, has tracked the performance of states in </w:t>
      </w:r>
      <w:r w:rsidDel="00000000" w:rsidR="00000000" w:rsidRPr="00000000">
        <w:rPr>
          <w:rFonts w:ascii="Calibri" w:cs="Calibri" w:eastAsia="Calibri" w:hAnsi="Calibri"/>
          <w:b w:val="1"/>
          <w:rtl w:val="0"/>
        </w:rPr>
        <w:t xml:space="preserve">capacitating their Justice delivery structures</w:t>
      </w:r>
      <w:r w:rsidDel="00000000" w:rsidR="00000000" w:rsidRPr="00000000">
        <w:rPr>
          <w:rFonts w:ascii="Calibri" w:cs="Calibri" w:eastAsia="Calibri" w:hAnsi="Calibri"/>
          <w:rtl w:val="0"/>
        </w:rPr>
        <w:t xml:space="preserve"> to effectively deliver mandated services. Based on the latest official statistics from authoritative government sources, it brings together otherwise siloed data on the </w:t>
      </w:r>
      <w:r w:rsidDel="00000000" w:rsidR="00000000" w:rsidRPr="00000000">
        <w:rPr>
          <w:rFonts w:ascii="Calibri" w:cs="Calibri" w:eastAsia="Calibri" w:hAnsi="Calibri"/>
          <w:b w:val="1"/>
          <w:rtl w:val="0"/>
        </w:rPr>
        <w:t xml:space="preserve">four pillars of Justice delivery – Police, Judiciary, Prisons, and Legal Aid</w:t>
      </w:r>
      <w:r w:rsidDel="00000000" w:rsidR="00000000" w:rsidRPr="00000000">
        <w:rPr>
          <w:rFonts w:ascii="Calibri" w:cs="Calibri" w:eastAsia="Calibri" w:hAnsi="Calibri"/>
          <w:rtl w:val="0"/>
        </w:rPr>
        <w:t xml:space="preserve">. Each pillar was analysed through the prism of budgets, human resources, workload, diversity, infrastructure, and trends (intention to improve over a five-year period), against the state’s own declared standards and benchmarks. This edition also separately assesses the capacity of the 25 State Human Rights Commissions (</w:t>
      </w:r>
      <w:r w:rsidDel="00000000" w:rsidR="00000000" w:rsidRPr="00000000">
        <w:rPr>
          <w:rFonts w:ascii="Calibri" w:cs="Calibri" w:eastAsia="Calibri" w:hAnsi="Calibri"/>
          <w:i w:val="1"/>
          <w:u w:val="single"/>
          <w:rtl w:val="0"/>
        </w:rPr>
        <w:t xml:space="preserve">see SHRC brief for more</w:t>
      </w:r>
      <w:r w:rsidDel="00000000" w:rsidR="00000000" w:rsidRPr="00000000">
        <w:rPr>
          <w:rFonts w:ascii="Calibri" w:cs="Calibri" w:eastAsia="Calibri" w:hAnsi="Calibri"/>
          <w:rtl w:val="0"/>
        </w:rPr>
        <w:t xml:space="preserve">) and consists of essays on mediation and access to justice for persons with disabilities.</w:t>
      </w:r>
    </w:p>
    <w:p w:rsidR="00000000" w:rsidDel="00000000" w:rsidP="00000000" w:rsidRDefault="00000000" w:rsidRPr="00000000" w14:paraId="00000014">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15">
      <w:pPr>
        <w:spacing w:line="240" w:lineRule="auto"/>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Discussing the India Justice Report, </w:t>
      </w:r>
      <w:r w:rsidDel="00000000" w:rsidR="00000000" w:rsidRPr="00000000">
        <w:rPr>
          <w:rFonts w:ascii="Calibri" w:cs="Calibri" w:eastAsia="Calibri" w:hAnsi="Calibri"/>
          <w:b w:val="1"/>
          <w:color w:val="000000"/>
          <w:rtl w:val="0"/>
        </w:rPr>
        <w:t xml:space="preserve">Justice (Retd.) Madan B. Lokur </w:t>
      </w:r>
      <w:r w:rsidDel="00000000" w:rsidR="00000000" w:rsidRPr="00000000">
        <w:rPr>
          <w:rFonts w:ascii="Calibri" w:cs="Calibri" w:eastAsia="Calibri" w:hAnsi="Calibri"/>
          <w:color w:val="000000"/>
          <w:rtl w:val="0"/>
        </w:rPr>
        <w:t xml:space="preserve">commented, “</w:t>
      </w:r>
      <w:r w:rsidDel="00000000" w:rsidR="00000000" w:rsidRPr="00000000">
        <w:rPr>
          <w:rFonts w:ascii="Calibri" w:cs="Calibri" w:eastAsia="Calibri" w:hAnsi="Calibri"/>
          <w:i w:val="1"/>
          <w:color w:val="000000"/>
          <w:rtl w:val="0"/>
        </w:rPr>
        <w:t xml:space="preserve">The punishing process of accessing justice begins with the very first encounter an individual has with the system. With our failure to properly equip and train frontline justice providers—police stations, legal aid actors including paralegal volunteers and district courts—we fracture public trust. These institutions are intended to embody our commitment to equal justice. The strength of our entire justice framework rests on these critical first points of contact. The fourth edition of the India Justice Report points out that improvements remain few and far between in the absence of adequate attention given to resources. Alas, the burden continues to remain on the individual seeking justice, and not the state to provide it</w:t>
      </w:r>
      <w:r w:rsidDel="00000000" w:rsidR="00000000" w:rsidRPr="00000000">
        <w:rPr>
          <w:rFonts w:ascii="Calibri" w:cs="Calibri" w:eastAsia="Calibri" w:hAnsi="Calibri"/>
          <w:color w:val="000000"/>
          <w:rtl w:val="0"/>
        </w:rPr>
        <w:t xml:space="preserve">.”</w:t>
      </w:r>
    </w:p>
    <w:p w:rsidR="00000000" w:rsidDel="00000000" w:rsidP="00000000" w:rsidRDefault="00000000" w:rsidRPr="00000000" w14:paraId="00000016">
      <w:pPr>
        <w:spacing w:line="240" w:lineRule="auto"/>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17">
      <w:pPr>
        <w:spacing w:line="240" w:lineRule="auto"/>
        <w:jc w:val="both"/>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Ms. Maja Daruwala, Chief Editor, India Justice Report</w:t>
      </w:r>
      <w:r w:rsidDel="00000000" w:rsidR="00000000" w:rsidRPr="00000000">
        <w:rPr>
          <w:rFonts w:ascii="Calibri" w:cs="Calibri" w:eastAsia="Calibri" w:hAnsi="Calibri"/>
          <w:color w:val="000000"/>
          <w:rtl w:val="0"/>
        </w:rPr>
        <w:t xml:space="preserve">, highlighted, “</w:t>
      </w:r>
      <w:r w:rsidDel="00000000" w:rsidR="00000000" w:rsidRPr="00000000">
        <w:rPr>
          <w:rFonts w:ascii="Calibri" w:cs="Calibri" w:eastAsia="Calibri" w:hAnsi="Calibri"/>
          <w:i w:val="1"/>
          <w:color w:val="000000"/>
          <w:rtl w:val="0"/>
        </w:rPr>
        <w:t xml:space="preserve">As India moves forward into a hundred years of being a democratic, rule of law nation, the promise of rule of law and equal rights will remain hollow unless underwritten by a reformed justice system. Reform is not optional. It is urgent. A well-resourced responsive justice system is a constitutional imperative that must be experienced as an everyday reality available to every citizen</w:t>
      </w:r>
      <w:r w:rsidDel="00000000" w:rsidR="00000000" w:rsidRPr="00000000">
        <w:rPr>
          <w:rFonts w:ascii="Calibri" w:cs="Calibri" w:eastAsia="Calibri" w:hAnsi="Calibri"/>
          <w:color w:val="000000"/>
          <w:rtl w:val="0"/>
        </w:rPr>
        <w:t xml:space="preserve">.”</w:t>
      </w:r>
    </w:p>
    <w:p w:rsidR="00000000" w:rsidDel="00000000" w:rsidP="00000000" w:rsidRDefault="00000000" w:rsidRPr="00000000" w14:paraId="00000018">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19">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Tamil Nadu’s Ranks: Pillar Wise </w:t>
      </w:r>
    </w:p>
    <w:p w:rsidR="00000000" w:rsidDel="00000000" w:rsidP="00000000" w:rsidRDefault="00000000" w:rsidRPr="00000000" w14:paraId="0000001A">
      <w:pPr>
        <w:spacing w:line="240" w:lineRule="auto"/>
        <w:rPr>
          <w:rFonts w:ascii="Calibri" w:cs="Calibri" w:eastAsia="Calibri" w:hAnsi="Calibri"/>
        </w:rPr>
      </w:pPr>
      <w:r w:rsidDel="00000000" w:rsidR="00000000" w:rsidRPr="00000000">
        <w:rPr>
          <w:rtl w:val="0"/>
        </w:rPr>
      </w:r>
    </w:p>
    <w:tbl>
      <w:tblPr>
        <w:tblStyle w:val="Table1"/>
        <w:tblpPr w:leftFromText="180" w:rightFromText="180" w:topFromText="180" w:bottomFromText="180" w:vertAnchor="text" w:horzAnchor="text" w:tblpX="0" w:tblpY="0"/>
        <w:tblW w:w="591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65"/>
        <w:gridCol w:w="1965"/>
        <w:gridCol w:w="1680"/>
        <w:tblGridChange w:id="0">
          <w:tblGrid>
            <w:gridCol w:w="2265"/>
            <w:gridCol w:w="1965"/>
            <w:gridCol w:w="1680"/>
          </w:tblGrid>
        </w:tblGridChange>
      </w:tblGrid>
      <w:tr>
        <w:trPr>
          <w:cantSplit w:val="0"/>
          <w:tblHeader w:val="0"/>
        </w:trPr>
        <w:tc>
          <w:tcPr/>
          <w:p w:rsidR="00000000" w:rsidDel="00000000" w:rsidP="00000000" w:rsidRDefault="00000000" w:rsidRPr="00000000" w14:paraId="0000001B">
            <w:pPr>
              <w:widowControl w:val="0"/>
              <w:spacing w:line="240" w:lineRule="auto"/>
              <w:rPr>
                <w:rFonts w:ascii="Calibri" w:cs="Calibri" w:eastAsia="Calibri" w:hAnsi="Calibri"/>
              </w:rPr>
            </w:pPr>
            <w:r w:rsidDel="00000000" w:rsidR="00000000" w:rsidRPr="00000000">
              <w:rPr>
                <w:rtl w:val="0"/>
              </w:rPr>
            </w:r>
          </w:p>
        </w:tc>
        <w:tc>
          <w:tcPr/>
          <w:p w:rsidR="00000000" w:rsidDel="00000000" w:rsidP="00000000" w:rsidRDefault="00000000" w:rsidRPr="00000000" w14:paraId="0000001C">
            <w:pPr>
              <w:widowControl w:val="0"/>
              <w:spacing w:lin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IJR 4</w:t>
            </w:r>
          </w:p>
        </w:tc>
        <w:tc>
          <w:tcPr/>
          <w:p w:rsidR="00000000" w:rsidDel="00000000" w:rsidP="00000000" w:rsidRDefault="00000000" w:rsidRPr="00000000" w14:paraId="0000001D">
            <w:pPr>
              <w:widowControl w:val="0"/>
              <w:spacing w:line="240" w:lineRule="auto"/>
              <w:jc w:val="center"/>
              <w:rPr>
                <w:rFonts w:ascii="Calibri" w:cs="Calibri" w:eastAsia="Calibri" w:hAnsi="Calibri"/>
                <w:b w:val="1"/>
              </w:rPr>
            </w:pPr>
            <w:r w:rsidDel="00000000" w:rsidR="00000000" w:rsidRPr="00000000">
              <w:rPr>
                <w:rFonts w:ascii="Calibri" w:cs="Calibri" w:eastAsia="Calibri" w:hAnsi="Calibri"/>
                <w:b w:val="1"/>
                <w:rtl w:val="0"/>
              </w:rPr>
              <w:t xml:space="preserve">IJR 3</w:t>
            </w:r>
          </w:p>
        </w:tc>
      </w:tr>
      <w:tr>
        <w:trPr>
          <w:cantSplit w:val="0"/>
          <w:tblHeader w:val="0"/>
        </w:trPr>
        <w:tc>
          <w:tcPr/>
          <w:p w:rsidR="00000000" w:rsidDel="00000000" w:rsidP="00000000" w:rsidRDefault="00000000" w:rsidRPr="00000000" w14:paraId="0000001E">
            <w:pPr>
              <w:widowControl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OVERALL</w:t>
            </w:r>
          </w:p>
        </w:tc>
        <w:tc>
          <w:tcPr/>
          <w:p w:rsidR="00000000" w:rsidDel="00000000" w:rsidP="00000000" w:rsidRDefault="00000000" w:rsidRPr="00000000" w14:paraId="0000001F">
            <w:pPr>
              <w:widowControl w:val="0"/>
              <w:spacing w:line="240" w:lineRule="auto"/>
              <w:jc w:val="center"/>
              <w:rPr>
                <w:rFonts w:ascii="Calibri" w:cs="Calibri" w:eastAsia="Calibri" w:hAnsi="Calibri"/>
                <w:b w:val="1"/>
                <w:color w:val="ff0000"/>
              </w:rPr>
            </w:pPr>
            <w:r w:rsidDel="00000000" w:rsidR="00000000" w:rsidRPr="00000000">
              <w:rPr>
                <w:rFonts w:ascii="Calibri" w:cs="Calibri" w:eastAsia="Calibri" w:hAnsi="Calibri"/>
                <w:b w:val="1"/>
                <w:color w:val="ff0000"/>
                <w:rtl w:val="0"/>
              </w:rPr>
              <w:t xml:space="preserve">5</w:t>
            </w:r>
          </w:p>
        </w:tc>
        <w:tc>
          <w:tcPr/>
          <w:p w:rsidR="00000000" w:rsidDel="00000000" w:rsidP="00000000" w:rsidRDefault="00000000" w:rsidRPr="00000000" w14:paraId="00000020">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2</w:t>
            </w:r>
          </w:p>
        </w:tc>
      </w:tr>
      <w:tr>
        <w:trPr>
          <w:cantSplit w:val="0"/>
          <w:tblHeader w:val="0"/>
        </w:trPr>
        <w:tc>
          <w:tcPr/>
          <w:p w:rsidR="00000000" w:rsidDel="00000000" w:rsidP="00000000" w:rsidRDefault="00000000" w:rsidRPr="00000000" w14:paraId="00000021">
            <w:pPr>
              <w:widowControl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POLICE</w:t>
            </w:r>
          </w:p>
        </w:tc>
        <w:tc>
          <w:tcPr/>
          <w:p w:rsidR="00000000" w:rsidDel="00000000" w:rsidP="00000000" w:rsidRDefault="00000000" w:rsidRPr="00000000" w14:paraId="00000022">
            <w:pPr>
              <w:widowControl w:val="0"/>
              <w:spacing w:line="240" w:lineRule="auto"/>
              <w:jc w:val="center"/>
              <w:rPr>
                <w:rFonts w:ascii="Calibri" w:cs="Calibri" w:eastAsia="Calibri" w:hAnsi="Calibri"/>
                <w:b w:val="1"/>
                <w:color w:val="ff0000"/>
              </w:rPr>
            </w:pPr>
            <w:r w:rsidDel="00000000" w:rsidR="00000000" w:rsidRPr="00000000">
              <w:rPr>
                <w:rFonts w:ascii="Calibri" w:cs="Calibri" w:eastAsia="Calibri" w:hAnsi="Calibri"/>
                <w:b w:val="1"/>
                <w:color w:val="ff0000"/>
                <w:rtl w:val="0"/>
              </w:rPr>
              <w:t xml:space="preserve">13</w:t>
            </w:r>
          </w:p>
        </w:tc>
        <w:tc>
          <w:tcPr/>
          <w:p w:rsidR="00000000" w:rsidDel="00000000" w:rsidP="00000000" w:rsidRDefault="00000000" w:rsidRPr="00000000" w14:paraId="00000023">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6</w:t>
            </w:r>
          </w:p>
        </w:tc>
      </w:tr>
      <w:tr>
        <w:trPr>
          <w:cantSplit w:val="0"/>
          <w:tblHeader w:val="0"/>
        </w:trPr>
        <w:tc>
          <w:tcPr/>
          <w:p w:rsidR="00000000" w:rsidDel="00000000" w:rsidP="00000000" w:rsidRDefault="00000000" w:rsidRPr="00000000" w14:paraId="00000024">
            <w:pPr>
              <w:widowControl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PRISONS</w:t>
            </w:r>
          </w:p>
        </w:tc>
        <w:tc>
          <w:tcPr/>
          <w:p w:rsidR="00000000" w:rsidDel="00000000" w:rsidP="00000000" w:rsidRDefault="00000000" w:rsidRPr="00000000" w14:paraId="00000025">
            <w:pPr>
              <w:widowControl w:val="0"/>
              <w:spacing w:line="240" w:lineRule="auto"/>
              <w:jc w:val="center"/>
              <w:rPr>
                <w:rFonts w:ascii="Calibri" w:cs="Calibri" w:eastAsia="Calibri" w:hAnsi="Calibri"/>
                <w:b w:val="1"/>
                <w:color w:val="ff0000"/>
              </w:rPr>
            </w:pPr>
            <w:r w:rsidDel="00000000" w:rsidR="00000000" w:rsidRPr="00000000">
              <w:rPr>
                <w:rFonts w:ascii="Calibri" w:cs="Calibri" w:eastAsia="Calibri" w:hAnsi="Calibri"/>
                <w:b w:val="1"/>
                <w:color w:val="ff0000"/>
                <w:rtl w:val="0"/>
              </w:rPr>
              <w:t xml:space="preserve">1</w:t>
            </w:r>
          </w:p>
        </w:tc>
        <w:tc>
          <w:tcPr/>
          <w:p w:rsidR="00000000" w:rsidDel="00000000" w:rsidP="00000000" w:rsidRDefault="00000000" w:rsidRPr="00000000" w14:paraId="00000026">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1</w:t>
            </w:r>
          </w:p>
        </w:tc>
      </w:tr>
      <w:tr>
        <w:trPr>
          <w:cantSplit w:val="0"/>
          <w:tblHeader w:val="0"/>
        </w:trPr>
        <w:tc>
          <w:tcPr/>
          <w:p w:rsidR="00000000" w:rsidDel="00000000" w:rsidP="00000000" w:rsidRDefault="00000000" w:rsidRPr="00000000" w14:paraId="00000027">
            <w:pPr>
              <w:widowControl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JUDICIARY</w:t>
            </w:r>
          </w:p>
        </w:tc>
        <w:tc>
          <w:tcPr/>
          <w:p w:rsidR="00000000" w:rsidDel="00000000" w:rsidP="00000000" w:rsidRDefault="00000000" w:rsidRPr="00000000" w14:paraId="00000028">
            <w:pPr>
              <w:widowControl w:val="0"/>
              <w:spacing w:line="240" w:lineRule="auto"/>
              <w:jc w:val="center"/>
              <w:rPr>
                <w:rFonts w:ascii="Calibri" w:cs="Calibri" w:eastAsia="Calibri" w:hAnsi="Calibri"/>
                <w:b w:val="1"/>
                <w:color w:val="ff0000"/>
              </w:rPr>
            </w:pPr>
            <w:r w:rsidDel="00000000" w:rsidR="00000000" w:rsidRPr="00000000">
              <w:rPr>
                <w:rFonts w:ascii="Calibri" w:cs="Calibri" w:eastAsia="Calibri" w:hAnsi="Calibri"/>
                <w:b w:val="1"/>
                <w:color w:val="ff0000"/>
                <w:rtl w:val="0"/>
              </w:rPr>
              <w:t xml:space="preserve">3</w:t>
            </w:r>
          </w:p>
        </w:tc>
        <w:tc>
          <w:tcPr/>
          <w:p w:rsidR="00000000" w:rsidDel="00000000" w:rsidP="00000000" w:rsidRDefault="00000000" w:rsidRPr="00000000" w14:paraId="00000029">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1</w:t>
            </w:r>
          </w:p>
        </w:tc>
      </w:tr>
      <w:tr>
        <w:trPr>
          <w:cantSplit w:val="0"/>
          <w:tblHeader w:val="0"/>
        </w:trPr>
        <w:tc>
          <w:tcPr/>
          <w:p w:rsidR="00000000" w:rsidDel="00000000" w:rsidP="00000000" w:rsidRDefault="00000000" w:rsidRPr="00000000" w14:paraId="0000002A">
            <w:pPr>
              <w:widowControl w:val="0"/>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LEGAL AID </w:t>
            </w:r>
          </w:p>
        </w:tc>
        <w:tc>
          <w:tcPr/>
          <w:p w:rsidR="00000000" w:rsidDel="00000000" w:rsidP="00000000" w:rsidRDefault="00000000" w:rsidRPr="00000000" w14:paraId="0000002B">
            <w:pPr>
              <w:widowControl w:val="0"/>
              <w:spacing w:line="240" w:lineRule="auto"/>
              <w:jc w:val="center"/>
              <w:rPr>
                <w:rFonts w:ascii="Calibri" w:cs="Calibri" w:eastAsia="Calibri" w:hAnsi="Calibri"/>
                <w:b w:val="1"/>
                <w:color w:val="ff0000"/>
              </w:rPr>
            </w:pPr>
            <w:r w:rsidDel="00000000" w:rsidR="00000000" w:rsidRPr="00000000">
              <w:rPr>
                <w:rFonts w:ascii="Calibri" w:cs="Calibri" w:eastAsia="Calibri" w:hAnsi="Calibri"/>
                <w:b w:val="1"/>
                <w:color w:val="ff0000"/>
                <w:rtl w:val="0"/>
              </w:rPr>
              <w:t xml:space="preserve">16</w:t>
            </w:r>
          </w:p>
        </w:tc>
        <w:tc>
          <w:tcPr/>
          <w:p w:rsidR="00000000" w:rsidDel="00000000" w:rsidP="00000000" w:rsidRDefault="00000000" w:rsidRPr="00000000" w14:paraId="0000002C">
            <w:pPr>
              <w:widowControl w:val="0"/>
              <w:spacing w:line="240" w:lineRule="auto"/>
              <w:jc w:val="center"/>
              <w:rPr>
                <w:rFonts w:ascii="Calibri" w:cs="Calibri" w:eastAsia="Calibri" w:hAnsi="Calibri"/>
              </w:rPr>
            </w:pPr>
            <w:r w:rsidDel="00000000" w:rsidR="00000000" w:rsidRPr="00000000">
              <w:rPr>
                <w:rFonts w:ascii="Calibri" w:cs="Calibri" w:eastAsia="Calibri" w:hAnsi="Calibri"/>
                <w:rtl w:val="0"/>
              </w:rPr>
              <w:t xml:space="preserve">12</w:t>
            </w:r>
          </w:p>
        </w:tc>
      </w:tr>
    </w:tbl>
    <w:p w:rsidR="00000000" w:rsidDel="00000000" w:rsidP="00000000" w:rsidRDefault="00000000" w:rsidRPr="00000000" w14:paraId="0000002D">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2E">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2F">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0">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1">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2">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3">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4">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5">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8">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9">
      <w:pPr>
        <w:spacing w:line="240" w:lineRule="auto"/>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TN Prisons Rank First Yet Again </w:t>
      </w:r>
    </w:p>
    <w:p w:rsidR="00000000" w:rsidDel="00000000" w:rsidP="00000000" w:rsidRDefault="00000000" w:rsidRPr="00000000" w14:paraId="0000003A">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3B">
      <w:pPr>
        <w:spacing w:line="240" w:lineRule="auto"/>
        <w:rPr>
          <w:rFonts w:ascii="Calibri" w:cs="Calibri" w:eastAsia="Calibri" w:hAnsi="Calibri"/>
        </w:rPr>
      </w:pPr>
      <w:r w:rsidDel="00000000" w:rsidR="00000000" w:rsidRPr="00000000">
        <w:rPr>
          <w:rFonts w:ascii="Calibri" w:cs="Calibri" w:eastAsia="Calibri" w:hAnsi="Calibri"/>
          <w:rtl w:val="0"/>
        </w:rPr>
        <w:t xml:space="preserve">TN retained its top position in Prisons with a consistently low share of undertrial population in prisons (61.5%) and one of the lowest occupancy rates (77%). </w:t>
      </w:r>
    </w:p>
    <w:p w:rsidR="00000000" w:rsidDel="00000000" w:rsidP="00000000" w:rsidRDefault="00000000" w:rsidRPr="00000000" w14:paraId="0000003C">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3D">
      <w:pPr>
        <w:spacing w:line="240" w:lineRule="auto"/>
        <w:rPr>
          <w:rFonts w:ascii="Calibri" w:cs="Calibri" w:eastAsia="Calibri" w:hAnsi="Calibri"/>
          <w:highlight w:val="white"/>
        </w:rPr>
      </w:pPr>
      <w:r w:rsidDel="00000000" w:rsidR="00000000" w:rsidRPr="00000000">
        <w:rPr>
          <w:rFonts w:ascii="Calibri" w:cs="Calibri" w:eastAsia="Calibri" w:hAnsi="Calibri"/>
          <w:rtl w:val="0"/>
        </w:rPr>
        <w:t xml:space="preserve">TN also increased the spend per inmate while bringing down staff vacancies (both cadre and officers). Staff vacancy in TN prisons is among the lowest in the country. It is one of the only 3 large states to meet the benchmark of 6 inmates per cadre staff. </w:t>
      </w:r>
      <w:r w:rsidDel="00000000" w:rsidR="00000000" w:rsidRPr="00000000">
        <w:rPr>
          <w:rFonts w:ascii="Calibri" w:cs="Calibri" w:eastAsia="Calibri" w:hAnsi="Calibri"/>
          <w:highlight w:val="white"/>
          <w:rtl w:val="0"/>
        </w:rPr>
        <w:t xml:space="preserve">However, the vacancy in medical officers in prisons has risen significantly, from 12% to 26%. </w:t>
      </w:r>
    </w:p>
    <w:p w:rsidR="00000000" w:rsidDel="00000000" w:rsidP="00000000" w:rsidRDefault="00000000" w:rsidRPr="00000000" w14:paraId="0000003E">
      <w:pPr>
        <w:spacing w:line="240" w:lineRule="auto"/>
        <w:rPr>
          <w:rFonts w:ascii="Calibri" w:cs="Calibri" w:eastAsia="Calibri" w:hAnsi="Calibri"/>
          <w:highlight w:val="yellow"/>
        </w:rPr>
      </w:pPr>
      <w:r w:rsidDel="00000000" w:rsidR="00000000" w:rsidRPr="00000000">
        <w:rPr>
          <w:rtl w:val="0"/>
        </w:rPr>
      </w:r>
    </w:p>
    <w:p w:rsidR="00000000" w:rsidDel="00000000" w:rsidP="00000000" w:rsidRDefault="00000000" w:rsidRPr="00000000" w14:paraId="0000003F">
      <w:pPr>
        <w:spacing w:line="240" w:lineRule="auto"/>
        <w:rPr>
          <w:rFonts w:ascii="Calibri" w:cs="Calibri" w:eastAsia="Calibri" w:hAnsi="Calibri"/>
          <w:b w:val="1"/>
          <w:highlight w:val="white"/>
          <w:u w:val="single"/>
        </w:rPr>
      </w:pPr>
      <w:r w:rsidDel="00000000" w:rsidR="00000000" w:rsidRPr="00000000">
        <w:rPr>
          <w:rFonts w:ascii="Calibri" w:cs="Calibri" w:eastAsia="Calibri" w:hAnsi="Calibri"/>
          <w:b w:val="1"/>
          <w:highlight w:val="white"/>
          <w:u w:val="single"/>
          <w:rtl w:val="0"/>
        </w:rPr>
        <w:t xml:space="preserve">TN Police: Sink in Performance</w:t>
      </w:r>
    </w:p>
    <w:p w:rsidR="00000000" w:rsidDel="00000000" w:rsidP="00000000" w:rsidRDefault="00000000" w:rsidRPr="00000000" w14:paraId="00000040">
      <w:pPr>
        <w:spacing w:line="240" w:lineRule="auto"/>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41">
      <w:pPr>
        <w:spacing w:line="240" w:lineRule="auto"/>
        <w:rPr>
          <w:rFonts w:ascii="Calibri" w:cs="Calibri" w:eastAsia="Calibri" w:hAnsi="Calibri"/>
        </w:rPr>
      </w:pPr>
      <w:r w:rsidDel="00000000" w:rsidR="00000000" w:rsidRPr="00000000">
        <w:rPr>
          <w:rFonts w:ascii="Calibri" w:cs="Calibri" w:eastAsia="Calibri" w:hAnsi="Calibri"/>
          <w:rtl w:val="0"/>
        </w:rPr>
        <w:t xml:space="preserve">On the other hand, the State has dropped substantially in the Police pillar., For the year 2021-2022, TN reported no utilisation of modernisation funds which are given as a Centrally Sponsored Scheme grant with a central: state ratio of 60:40. The state also reported no budget allocation or expenditure for training of police personnel. The training institutes too reduced between 2022 and 2023 from 24 to 9, leading to a considerable burden in terms of average number of police personnel per training institute.</w:t>
      </w:r>
    </w:p>
    <w:p w:rsidR="00000000" w:rsidDel="00000000" w:rsidP="00000000" w:rsidRDefault="00000000" w:rsidRPr="00000000" w14:paraId="00000042">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3">
      <w:pPr>
        <w:spacing w:line="240" w:lineRule="auto"/>
        <w:rPr>
          <w:rFonts w:ascii="Calibri" w:cs="Calibri" w:eastAsia="Calibri" w:hAnsi="Calibri"/>
        </w:rPr>
      </w:pPr>
      <w:r w:rsidDel="00000000" w:rsidR="00000000" w:rsidRPr="00000000">
        <w:rPr>
          <w:rFonts w:ascii="Calibri" w:cs="Calibri" w:eastAsia="Calibri" w:hAnsi="Calibri"/>
          <w:rtl w:val="0"/>
        </w:rPr>
        <w:t xml:space="preserve">Vacancy at the officer level in TN Police increased threefold between IJR 3 and IJR 4, with there now being 28% vacant positions. Further, only 68% of the Police Stations have at least one CCTV camera while the national average of such police stations is 83%   However, the state has the highest share of female police officers among all large states (20%).</w:t>
      </w:r>
    </w:p>
    <w:p w:rsidR="00000000" w:rsidDel="00000000" w:rsidP="00000000" w:rsidRDefault="00000000" w:rsidRPr="00000000" w14:paraId="00000044">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5">
      <w:pPr>
        <w:spacing w:line="240" w:lineRule="auto"/>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Judiciary: Consistent Performance </w:t>
      </w:r>
    </w:p>
    <w:p w:rsidR="00000000" w:rsidDel="00000000" w:rsidP="00000000" w:rsidRDefault="00000000" w:rsidRPr="00000000" w14:paraId="0000004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7">
      <w:pPr>
        <w:spacing w:line="240" w:lineRule="auto"/>
        <w:rPr>
          <w:rFonts w:ascii="Calibri" w:cs="Calibri" w:eastAsia="Calibri" w:hAnsi="Calibri"/>
        </w:rPr>
      </w:pPr>
      <w:r w:rsidDel="00000000" w:rsidR="00000000" w:rsidRPr="00000000">
        <w:rPr>
          <w:rFonts w:ascii="Calibri" w:cs="Calibri" w:eastAsia="Calibri" w:hAnsi="Calibri"/>
          <w:rtl w:val="0"/>
        </w:rPr>
        <w:t xml:space="preserve">The State’s performance in Judiciary has been consistent over the years. While it improved its per capita spend and high court judge vacancies this year (from 28% in 2022 to 13% in 2025), </w:t>
      </w:r>
    </w:p>
    <w:p w:rsidR="00000000" w:rsidDel="00000000" w:rsidP="00000000" w:rsidRDefault="00000000" w:rsidRPr="00000000" w14:paraId="00000048">
      <w:pPr>
        <w:spacing w:line="240" w:lineRule="auto"/>
        <w:rPr>
          <w:rFonts w:ascii="Calibri" w:cs="Calibri" w:eastAsia="Calibri" w:hAnsi="Calibri"/>
        </w:rPr>
      </w:pPr>
      <w:r w:rsidDel="00000000" w:rsidR="00000000" w:rsidRPr="00000000">
        <w:rPr>
          <w:rFonts w:ascii="Calibri" w:cs="Calibri" w:eastAsia="Calibri" w:hAnsi="Calibri"/>
          <w:rtl w:val="0"/>
        </w:rPr>
        <w:t xml:space="preserve">there was a slight increase in the subordinate court judge vacancies and the high court staff, leading to its drop from the first to the third position this year. </w:t>
      </w:r>
    </w:p>
    <w:p w:rsidR="00000000" w:rsidDel="00000000" w:rsidP="00000000" w:rsidRDefault="00000000" w:rsidRPr="00000000" w14:paraId="00000049">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4A">
      <w:pPr>
        <w:spacing w:line="240" w:lineRule="auto"/>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Legal Aid: Area of Concern </w:t>
      </w:r>
    </w:p>
    <w:p w:rsidR="00000000" w:rsidDel="00000000" w:rsidP="00000000" w:rsidRDefault="00000000" w:rsidRPr="00000000" w14:paraId="0000004B">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4C">
      <w:pPr>
        <w:spacing w:line="240" w:lineRule="auto"/>
        <w:rPr>
          <w:rFonts w:ascii="Calibri" w:cs="Calibri" w:eastAsia="Calibri" w:hAnsi="Calibri"/>
        </w:rPr>
      </w:pPr>
      <w:r w:rsidDel="00000000" w:rsidR="00000000" w:rsidRPr="00000000">
        <w:rPr>
          <w:rFonts w:ascii="Calibri" w:cs="Calibri" w:eastAsia="Calibri" w:hAnsi="Calibri"/>
          <w:rtl w:val="0"/>
        </w:rPr>
        <w:t xml:space="preserve">Legal Aid continues to be a persistent pillar of concern for the state. With sub-par budget utilisation, low per capita spend, 50% vacancy in DLSA secretaries (highest in the country) , just 1 Para Legal Volunteer per lakh population and poor disposal rate of the SLSA Lok Adalats, the state of legal aid requires an urgent attention of the authorities. </w:t>
      </w:r>
    </w:p>
    <w:p w:rsidR="00000000" w:rsidDel="00000000" w:rsidP="00000000" w:rsidRDefault="00000000" w:rsidRPr="00000000" w14:paraId="0000004D">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  </w:t>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E">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Tops in Prisons-</w:t>
            </w:r>
          </w:p>
          <w:p w:rsidR="00000000" w:rsidDel="00000000" w:rsidP="00000000" w:rsidRDefault="00000000" w:rsidRPr="00000000" w14:paraId="0000004F">
            <w:pPr>
              <w:numPr>
                <w:ilvl w:val="0"/>
                <w:numId w:val="4"/>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Consistent low UTP share (61.5%) and occupancy (77%)</w:t>
            </w:r>
          </w:p>
          <w:p w:rsidR="00000000" w:rsidDel="00000000" w:rsidP="00000000" w:rsidRDefault="00000000" w:rsidRPr="00000000" w14:paraId="00000050">
            <w:pPr>
              <w:numPr>
                <w:ilvl w:val="0"/>
                <w:numId w:val="4"/>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Spend per inmate increased: increase in budget, Utilisation- 100% &amp; inmate population: same</w:t>
            </w:r>
          </w:p>
          <w:p w:rsidR="00000000" w:rsidDel="00000000" w:rsidP="00000000" w:rsidRDefault="00000000" w:rsidRPr="00000000" w14:paraId="00000051">
            <w:pPr>
              <w:numPr>
                <w:ilvl w:val="0"/>
                <w:numId w:val="4"/>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Staff vacancies- Cadre and officer (one of the lowest in the country)</w:t>
            </w:r>
          </w:p>
          <w:p w:rsidR="00000000" w:rsidDel="00000000" w:rsidP="00000000" w:rsidRDefault="00000000" w:rsidRPr="00000000" w14:paraId="00000052">
            <w:pPr>
              <w:numPr>
                <w:ilvl w:val="0"/>
                <w:numId w:val="4"/>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No jails with 250% occupancy </w:t>
            </w:r>
          </w:p>
          <w:p w:rsidR="00000000" w:rsidDel="00000000" w:rsidP="00000000" w:rsidRDefault="00000000" w:rsidRPr="00000000" w14:paraId="00000053">
            <w:pPr>
              <w:numPr>
                <w:ilvl w:val="0"/>
                <w:numId w:val="4"/>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Benchmark: one of the 3 large states to meet the inmates per cadre staff 1:6</w:t>
            </w:r>
          </w:p>
          <w:p w:rsidR="00000000" w:rsidDel="00000000" w:rsidP="00000000" w:rsidRDefault="00000000" w:rsidRPr="00000000" w14:paraId="00000054">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55">
            <w:pPr>
              <w:spacing w:line="240" w:lineRule="auto"/>
              <w:rPr>
                <w:rFonts w:ascii="Calibri" w:cs="Calibri" w:eastAsia="Calibri" w:hAnsi="Calibri"/>
              </w:rPr>
            </w:pPr>
            <w:r w:rsidDel="00000000" w:rsidR="00000000" w:rsidRPr="00000000">
              <w:rPr>
                <w:rFonts w:ascii="Calibri" w:cs="Calibri" w:eastAsia="Calibri" w:hAnsi="Calibri"/>
                <w:b w:val="1"/>
                <w:rtl w:val="0"/>
              </w:rPr>
              <w:t xml:space="preserve">Lacunae</w:t>
            </w:r>
            <w:r w:rsidDel="00000000" w:rsidR="00000000" w:rsidRPr="00000000">
              <w:rPr>
                <w:rFonts w:ascii="Calibri" w:cs="Calibri" w:eastAsia="Calibri" w:hAnsi="Calibri"/>
                <w:rtl w:val="0"/>
              </w:rPr>
              <w:t xml:space="preserve">: </w:t>
            </w:r>
          </w:p>
          <w:p w:rsidR="00000000" w:rsidDel="00000000" w:rsidP="00000000" w:rsidRDefault="00000000" w:rsidRPr="00000000" w14:paraId="00000056">
            <w:pPr>
              <w:numPr>
                <w:ilvl w:val="0"/>
                <w:numId w:val="5"/>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Vacancy increased in medical staff- 8% to 12% and officer- 12% to 26%</w:t>
            </w:r>
          </w:p>
          <w:p w:rsidR="00000000" w:rsidDel="00000000" w:rsidP="00000000" w:rsidRDefault="00000000" w:rsidRPr="00000000" w14:paraId="00000057">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58">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Falls in Police:</w:t>
            </w:r>
          </w:p>
          <w:p w:rsidR="00000000" w:rsidDel="00000000" w:rsidP="00000000" w:rsidRDefault="00000000" w:rsidRPr="00000000" w14:paraId="00000059">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Utilisation of Police Modernisation Fund- 0%</w:t>
            </w:r>
          </w:p>
          <w:p w:rsidR="00000000" w:rsidDel="00000000" w:rsidP="00000000" w:rsidRDefault="00000000" w:rsidRPr="00000000" w14:paraId="0000005A">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Training budget allocation and utilisation- 0% </w:t>
            </w:r>
          </w:p>
          <w:p w:rsidR="00000000" w:rsidDel="00000000" w:rsidP="00000000" w:rsidRDefault="00000000" w:rsidRPr="00000000" w14:paraId="0000005B">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Training institutes reduced- from 24 to 9 </w:t>
            </w:r>
          </w:p>
          <w:p w:rsidR="00000000" w:rsidDel="00000000" w:rsidP="00000000" w:rsidRDefault="00000000" w:rsidRPr="00000000" w14:paraId="0000005C">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Officer vacancy increased - from 9.1% to 28% </w:t>
            </w:r>
          </w:p>
          <w:p w:rsidR="00000000" w:rsidDel="00000000" w:rsidP="00000000" w:rsidRDefault="00000000" w:rsidRPr="00000000" w14:paraId="0000005D">
            <w:pPr>
              <w:numPr>
                <w:ilvl w:val="0"/>
                <w:numId w:val="3"/>
              </w:numPr>
              <w:spacing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Police Stations with at least one CCTV camera- 68% </w:t>
            </w:r>
          </w:p>
        </w:tc>
      </w:tr>
    </w:tbl>
    <w:p w:rsidR="00000000" w:rsidDel="00000000" w:rsidP="00000000" w:rsidRDefault="00000000" w:rsidRPr="00000000" w14:paraId="0000005E">
      <w:pPr>
        <w:spacing w:line="240" w:lineRule="auto"/>
        <w:jc w:val="both"/>
        <w:rPr>
          <w:rFonts w:ascii="Calibri" w:cs="Calibri" w:eastAsia="Calibri" w:hAnsi="Calibri"/>
        </w:rPr>
      </w:pPr>
      <w:r w:rsidDel="00000000" w:rsidR="00000000" w:rsidRPr="00000000">
        <w:rPr>
          <w:rtl w:val="0"/>
        </w:rPr>
      </w:r>
    </w:p>
    <w:p w:rsidR="00000000" w:rsidDel="00000000" w:rsidP="00000000" w:rsidRDefault="00000000" w:rsidRPr="00000000" w14:paraId="0000005F">
      <w:pPr>
        <w:spacing w:line="240" w:lineRule="auto"/>
        <w:jc w:val="both"/>
        <w:rPr>
          <w:rFonts w:ascii="Calibri" w:cs="Calibri" w:eastAsia="Calibri" w:hAnsi="Calibri"/>
        </w:rPr>
      </w:pPr>
      <w:r w:rsidDel="00000000" w:rsidR="00000000" w:rsidRPr="00000000">
        <w:rPr>
          <w:rFonts w:ascii="Calibri" w:cs="Calibri" w:eastAsia="Calibri" w:hAnsi="Calibri"/>
          <w:rtl w:val="0"/>
        </w:rPr>
        <w:t xml:space="preserve">The IJR 2025 has reiterated both immediate and foundational corrections. It has flagged urgent filling of vacancies and increased representation. To effect irreversible change, it has exhorted that Justice delivery be designated as an essential service.</w:t>
      </w:r>
    </w:p>
    <w:p w:rsidR="00000000" w:rsidDel="00000000" w:rsidP="00000000" w:rsidRDefault="00000000" w:rsidRPr="00000000" w14:paraId="00000060">
      <w:pPr>
        <w:spacing w:line="240" w:lineRule="auto"/>
        <w:jc w:val="center"/>
        <w:rPr>
          <w:rFonts w:ascii="Calibri" w:cs="Calibri" w:eastAsia="Calibri" w:hAnsi="Calibri"/>
          <w:b w:val="1"/>
          <w:i w:val="1"/>
        </w:rPr>
      </w:pPr>
      <w:r w:rsidDel="00000000" w:rsidR="00000000" w:rsidRPr="00000000">
        <w:rPr>
          <w:rFonts w:ascii="Calibri" w:cs="Calibri" w:eastAsia="Calibri" w:hAnsi="Calibri"/>
          <w:b w:val="1"/>
          <w:rtl w:val="0"/>
        </w:rPr>
        <w:t xml:space="preserve">---------</w:t>
      </w:r>
      <w:r w:rsidDel="00000000" w:rsidR="00000000" w:rsidRPr="00000000">
        <w:rPr>
          <w:rtl w:val="0"/>
        </w:rPr>
      </w:r>
    </w:p>
    <w:p w:rsidR="00000000" w:rsidDel="00000000" w:rsidP="00000000" w:rsidRDefault="00000000" w:rsidRPr="00000000" w14:paraId="00000061">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For further details, please contact:</w:t>
      </w:r>
    </w:p>
    <w:p w:rsidR="00000000" w:rsidDel="00000000" w:rsidP="00000000" w:rsidRDefault="00000000" w:rsidRPr="00000000" w14:paraId="00000062">
      <w:pPr>
        <w:spacing w:line="240" w:lineRule="auto"/>
        <w:rPr>
          <w:rFonts w:ascii="Calibri" w:cs="Calibri" w:eastAsia="Calibri" w:hAnsi="Calibri"/>
        </w:rPr>
      </w:pPr>
      <w:r w:rsidDel="00000000" w:rsidR="00000000" w:rsidRPr="00000000">
        <w:rPr>
          <w:rtl w:val="0"/>
        </w:rPr>
      </w:r>
    </w:p>
    <w:tbl>
      <w:tblPr>
        <w:tblStyle w:val="Table3"/>
        <w:tblW w:w="6521.0" w:type="dxa"/>
        <w:jc w:val="left"/>
        <w:tblInd w:w="-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521"/>
        <w:tblGridChange w:id="0">
          <w:tblGrid>
            <w:gridCol w:w="6521"/>
          </w:tblGrid>
        </w:tblGridChange>
      </w:tblGrid>
      <w:tr>
        <w:trPr>
          <w:cantSplit w:val="0"/>
          <w:trHeight w:val="725" w:hRule="atLeast"/>
          <w:tblHeader w:val="0"/>
        </w:trPr>
        <w:tc>
          <w:tcPr/>
          <w:p w:rsidR="00000000" w:rsidDel="00000000" w:rsidP="00000000" w:rsidRDefault="00000000" w:rsidRPr="00000000" w14:paraId="00000063">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Valay Singh</w:t>
            </w:r>
          </w:p>
          <w:p w:rsidR="00000000" w:rsidDel="00000000" w:rsidP="00000000" w:rsidRDefault="00000000" w:rsidRPr="00000000" w14:paraId="00000064">
            <w:pPr>
              <w:spacing w:line="240" w:lineRule="auto"/>
              <w:rPr>
                <w:rFonts w:ascii="Calibri" w:cs="Calibri" w:eastAsia="Calibri" w:hAnsi="Calibri"/>
              </w:rPr>
            </w:pPr>
            <w:r w:rsidDel="00000000" w:rsidR="00000000" w:rsidRPr="00000000">
              <w:rPr>
                <w:rFonts w:ascii="Calibri" w:cs="Calibri" w:eastAsia="Calibri" w:hAnsi="Calibri"/>
                <w:rtl w:val="0"/>
              </w:rPr>
              <w:t xml:space="preserve">India Justice Report (</w:t>
            </w:r>
            <w:hyperlink r:id="rId7">
              <w:r w:rsidDel="00000000" w:rsidR="00000000" w:rsidRPr="00000000">
                <w:rPr>
                  <w:rFonts w:ascii="Calibri" w:cs="Calibri" w:eastAsia="Calibri" w:hAnsi="Calibri"/>
                  <w:color w:val="0000ff"/>
                  <w:u w:val="single"/>
                  <w:rtl w:val="0"/>
                </w:rPr>
                <w:t xml:space="preserve">indiajusticereport.org</w:t>
              </w:r>
            </w:hyperlink>
            <w:r w:rsidDel="00000000" w:rsidR="00000000" w:rsidRPr="00000000">
              <w:rPr>
                <w:rFonts w:ascii="Calibri" w:cs="Calibri" w:eastAsia="Calibri" w:hAnsi="Calibri"/>
                <w:rtl w:val="0"/>
              </w:rPr>
              <w:t xml:space="preserve">)</w:t>
            </w:r>
          </w:p>
          <w:p w:rsidR="00000000" w:rsidDel="00000000" w:rsidP="00000000" w:rsidRDefault="00000000" w:rsidRPr="00000000" w14:paraId="00000065">
            <w:pPr>
              <w:spacing w:line="240" w:lineRule="auto"/>
              <w:rPr>
                <w:rFonts w:ascii="Calibri" w:cs="Calibri" w:eastAsia="Calibri" w:hAnsi="Calibri"/>
              </w:rPr>
            </w:pPr>
            <w:r w:rsidDel="00000000" w:rsidR="00000000" w:rsidRPr="00000000">
              <w:rPr>
                <w:rFonts w:ascii="Calibri" w:cs="Calibri" w:eastAsia="Calibri" w:hAnsi="Calibri"/>
                <w:rtl w:val="0"/>
              </w:rPr>
              <w:t xml:space="preserve">E: valaysingh@gmail.com</w:t>
            </w:r>
          </w:p>
          <w:p w:rsidR="00000000" w:rsidDel="00000000" w:rsidP="00000000" w:rsidRDefault="00000000" w:rsidRPr="00000000" w14:paraId="00000066">
            <w:pPr>
              <w:spacing w:line="240" w:lineRule="auto"/>
              <w:rPr>
                <w:rFonts w:ascii="Calibri" w:cs="Calibri" w:eastAsia="Calibri" w:hAnsi="Calibri"/>
              </w:rPr>
            </w:pPr>
            <w:r w:rsidDel="00000000" w:rsidR="00000000" w:rsidRPr="00000000">
              <w:rPr>
                <w:rFonts w:ascii="Calibri" w:cs="Calibri" w:eastAsia="Calibri" w:hAnsi="Calibri"/>
                <w:rtl w:val="0"/>
              </w:rPr>
              <w:t xml:space="preserve">M: 9717676026</w:t>
            </w:r>
          </w:p>
        </w:tc>
      </w:tr>
    </w:tbl>
    <w:p w:rsidR="00000000" w:rsidDel="00000000" w:rsidP="00000000" w:rsidRDefault="00000000" w:rsidRPr="00000000" w14:paraId="00000067">
      <w:pPr>
        <w:spacing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68">
      <w:pPr>
        <w:spacing w:line="240" w:lineRule="auto"/>
        <w:jc w:val="both"/>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Sources: </w:t>
      </w:r>
    </w:p>
    <w:p w:rsidR="00000000" w:rsidDel="00000000" w:rsidP="00000000" w:rsidRDefault="00000000" w:rsidRPr="00000000" w14:paraId="00000069">
      <w:pPr>
        <w:spacing w:line="240" w:lineRule="auto"/>
        <w:jc w:val="both"/>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6A">
      <w:pPr>
        <w:numPr>
          <w:ilvl w:val="0"/>
          <w:numId w:val="2"/>
        </w:numPr>
        <w:spacing w:line="240" w:lineRule="auto"/>
        <w:ind w:left="720" w:hanging="360"/>
        <w:jc w:val="both"/>
        <w:rPr>
          <w:rFonts w:ascii="Calibri" w:cs="Calibri" w:eastAsia="Calibri" w:hAnsi="Calibri"/>
        </w:rPr>
      </w:pPr>
      <w:r w:rsidDel="00000000" w:rsidR="00000000" w:rsidRPr="00000000">
        <w:rPr>
          <w:rFonts w:ascii="Calibri" w:cs="Calibri" w:eastAsia="Calibri" w:hAnsi="Calibri"/>
          <w:rtl w:val="0"/>
        </w:rPr>
        <w:t xml:space="preserve">Police:</w:t>
      </w:r>
      <w:r w:rsidDel="00000000" w:rsidR="00000000" w:rsidRPr="00000000">
        <w:rPr>
          <w:rFonts w:ascii="Calibri" w:cs="Calibri" w:eastAsia="Calibri" w:hAnsi="Calibri"/>
          <w:i w:val="1"/>
          <w:color w:val="ffffff"/>
          <w:rtl w:val="0"/>
        </w:rPr>
        <w:t xml:space="preserve"> </w:t>
      </w:r>
      <w:r w:rsidDel="00000000" w:rsidR="00000000" w:rsidRPr="00000000">
        <w:rPr>
          <w:rFonts w:ascii="Calibri" w:cs="Calibri" w:eastAsia="Calibri" w:hAnsi="Calibri"/>
          <w:i w:val="1"/>
          <w:rtl w:val="0"/>
        </w:rPr>
        <w:t xml:space="preserve">Data on Police Organisation 2023, </w:t>
      </w:r>
      <w:r w:rsidDel="00000000" w:rsidR="00000000" w:rsidRPr="00000000">
        <w:rPr>
          <w:rFonts w:ascii="Calibri" w:cs="Calibri" w:eastAsia="Calibri" w:hAnsi="Calibri"/>
          <w:rtl w:val="0"/>
        </w:rPr>
        <w:t xml:space="preserve">Bureau of Police Research and Development</w:t>
      </w:r>
    </w:p>
    <w:p w:rsidR="00000000" w:rsidDel="00000000" w:rsidP="00000000" w:rsidRDefault="00000000" w:rsidRPr="00000000" w14:paraId="0000006B">
      <w:pPr>
        <w:numPr>
          <w:ilvl w:val="0"/>
          <w:numId w:val="2"/>
        </w:numPr>
        <w:spacing w:line="240" w:lineRule="auto"/>
        <w:ind w:left="720" w:hanging="360"/>
        <w:jc w:val="both"/>
        <w:rPr>
          <w:rFonts w:ascii="Calibri" w:cs="Calibri" w:eastAsia="Calibri" w:hAnsi="Calibri"/>
        </w:rPr>
      </w:pPr>
      <w:r w:rsidDel="00000000" w:rsidR="00000000" w:rsidRPr="00000000">
        <w:rPr>
          <w:rFonts w:ascii="Calibri" w:cs="Calibri" w:eastAsia="Calibri" w:hAnsi="Calibri"/>
          <w:i w:val="1"/>
          <w:rtl w:val="0"/>
        </w:rPr>
        <w:t xml:space="preserve">Prisons: Prison Statistics India 2022, </w:t>
      </w:r>
      <w:r w:rsidDel="00000000" w:rsidR="00000000" w:rsidRPr="00000000">
        <w:rPr>
          <w:rFonts w:ascii="Calibri" w:cs="Calibri" w:eastAsia="Calibri" w:hAnsi="Calibri"/>
          <w:rtl w:val="0"/>
        </w:rPr>
        <w:t xml:space="preserve">National Crime Records Bureau</w:t>
      </w:r>
    </w:p>
    <w:p w:rsidR="00000000" w:rsidDel="00000000" w:rsidP="00000000" w:rsidRDefault="00000000" w:rsidRPr="00000000" w14:paraId="0000006C">
      <w:pPr>
        <w:numPr>
          <w:ilvl w:val="0"/>
          <w:numId w:val="2"/>
        </w:numPr>
        <w:spacing w:line="240" w:lineRule="auto"/>
        <w:ind w:left="720" w:hanging="360"/>
        <w:jc w:val="both"/>
        <w:rPr>
          <w:rFonts w:ascii="Calibri" w:cs="Calibri" w:eastAsia="Calibri" w:hAnsi="Calibri"/>
        </w:rPr>
      </w:pPr>
      <w:r w:rsidDel="00000000" w:rsidR="00000000" w:rsidRPr="00000000">
        <w:rPr>
          <w:rFonts w:ascii="Calibri" w:cs="Calibri" w:eastAsia="Calibri" w:hAnsi="Calibri"/>
          <w:rtl w:val="0"/>
        </w:rPr>
        <w:t xml:space="preserve">Judiciary: 2024 &amp; 2025- National Judicial Data Grid (NJDG), Court News, Supreme Court of India; eCourts Services; Websites and annual reports of High Courts, Department of Justice</w:t>
      </w:r>
    </w:p>
    <w:p w:rsidR="00000000" w:rsidDel="00000000" w:rsidP="00000000" w:rsidRDefault="00000000" w:rsidRPr="00000000" w14:paraId="0000006D">
      <w:pPr>
        <w:numPr>
          <w:ilvl w:val="0"/>
          <w:numId w:val="2"/>
        </w:numPr>
        <w:spacing w:line="240" w:lineRule="auto"/>
        <w:ind w:left="720" w:hanging="360"/>
        <w:jc w:val="both"/>
        <w:rPr>
          <w:rFonts w:ascii="Calibri" w:cs="Calibri" w:eastAsia="Calibri" w:hAnsi="Calibri"/>
        </w:rPr>
      </w:pPr>
      <w:r w:rsidDel="00000000" w:rsidR="00000000" w:rsidRPr="00000000">
        <w:rPr>
          <w:rFonts w:ascii="Calibri" w:cs="Calibri" w:eastAsia="Calibri" w:hAnsi="Calibri"/>
          <w:rtl w:val="0"/>
        </w:rPr>
        <w:t xml:space="preserve">Legal aid: 2024, Statistics from National Legal Services Authority</w:t>
      </w:r>
    </w:p>
    <w:p w:rsidR="00000000" w:rsidDel="00000000" w:rsidP="00000000" w:rsidRDefault="00000000" w:rsidRPr="00000000" w14:paraId="0000006E">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6F">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0">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1">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2">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3">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4">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5">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8">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9">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A">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B">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C">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D">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E">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7F">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0">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1">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2">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3">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4">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5">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8">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9">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A">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B">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C">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D">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E">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8F">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0">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1">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2">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3">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4">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5">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8">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99">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A">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9B">
      <w:pPr>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ANNEXURE I: </w:t>
      </w:r>
    </w:p>
    <w:p w:rsidR="00000000" w:rsidDel="00000000" w:rsidP="00000000" w:rsidRDefault="00000000" w:rsidRPr="00000000" w14:paraId="0000009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9D">
      <w:pPr>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OVERALL NATIONAL FINDINGS: AT A GLANCE</w:t>
      </w:r>
    </w:p>
    <w:p w:rsidR="00000000" w:rsidDel="00000000" w:rsidP="00000000" w:rsidRDefault="00000000" w:rsidRPr="00000000" w14:paraId="0000009E">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9F">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The ranking of the 18 large-and mid-sized states is:</w:t>
      </w:r>
    </w:p>
    <w:p w:rsidR="00000000" w:rsidDel="00000000" w:rsidP="00000000" w:rsidRDefault="00000000" w:rsidRPr="00000000" w14:paraId="000000A0">
      <w:pPr>
        <w:spacing w:line="240" w:lineRule="auto"/>
        <w:rPr>
          <w:rFonts w:ascii="Calibri" w:cs="Calibri" w:eastAsia="Calibri" w:hAnsi="Calibri"/>
          <w:sz w:val="18"/>
          <w:szCs w:val="18"/>
        </w:rPr>
      </w:pPr>
      <w:r w:rsidDel="00000000" w:rsidR="00000000" w:rsidRPr="00000000">
        <w:rPr>
          <w:rtl w:val="0"/>
        </w:rPr>
      </w:r>
    </w:p>
    <w:tbl>
      <w:tblPr>
        <w:tblStyle w:val="Table4"/>
        <w:tblW w:w="7035.0" w:type="dxa"/>
        <w:jc w:val="left"/>
        <w:tblLayout w:type="fixed"/>
        <w:tblLook w:val="0400"/>
      </w:tblPr>
      <w:tblGrid>
        <w:gridCol w:w="3525"/>
        <w:gridCol w:w="1815"/>
        <w:gridCol w:w="1695"/>
        <w:tblGridChange w:id="0">
          <w:tblGrid>
            <w:gridCol w:w="3525"/>
            <w:gridCol w:w="1815"/>
            <w:gridCol w:w="1695"/>
          </w:tblGrid>
        </w:tblGridChange>
      </w:tblGrid>
      <w:tr>
        <w:trPr>
          <w:cantSplit w:val="0"/>
          <w:tblHeader w:val="1"/>
        </w:trPr>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A1">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State</w:t>
            </w:r>
            <w:r w:rsidDel="00000000" w:rsidR="00000000" w:rsidRPr="00000000">
              <w:rPr>
                <w:rtl w:val="0"/>
              </w:rPr>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A2">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Rank 2025</w:t>
            </w:r>
            <w:r w:rsidDel="00000000" w:rsidR="00000000" w:rsidRPr="00000000">
              <w:rPr>
                <w:rtl w:val="0"/>
              </w:rPr>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A3">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b w:val="1"/>
                <w:color w:val="ff0000"/>
                <w:sz w:val="20"/>
                <w:szCs w:val="20"/>
                <w:rtl w:val="0"/>
              </w:rPr>
              <w:t xml:space="preserve">Rank 2022</w:t>
            </w:r>
            <w:r w:rsidDel="00000000" w:rsidR="00000000" w:rsidRPr="00000000">
              <w:rPr>
                <w:rtl w:val="0"/>
              </w:rPr>
            </w:r>
          </w:p>
        </w:tc>
      </w:tr>
      <w:tr>
        <w:trPr>
          <w:cantSplit w:val="0"/>
          <w:tblHeader w:val="0"/>
        </w:trPr>
        <w:tc>
          <w:tcPr>
            <w:tcBorders>
              <w:top w:color="000000"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A4">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Karnataka</w:t>
            </w:r>
          </w:p>
        </w:tc>
        <w:tc>
          <w:tcPr>
            <w:tcBorders>
              <w:top w:color="cccccc" w:space="0" w:sz="7" w:val="single"/>
              <w:left w:color="cccccc" w:space="0" w:sz="7" w:val="single"/>
              <w:bottom w:color="cccccc" w:space="0" w:sz="7" w:val="single"/>
              <w:right w:color="cccccc" w:space="0" w:sz="7" w:val="single"/>
            </w:tcBorders>
            <w:shd w:fill="c27ba0" w:val="clear"/>
            <w:tcMar>
              <w:top w:w="40.0" w:type="dxa"/>
              <w:left w:w="40.0" w:type="dxa"/>
              <w:bottom w:w="40.0" w:type="dxa"/>
              <w:right w:w="40.0" w:type="dxa"/>
            </w:tcMar>
            <w:vAlign w:val="bottom"/>
          </w:tcPr>
          <w:p w:rsidR="00000000" w:rsidDel="00000000" w:rsidP="00000000" w:rsidRDefault="00000000" w:rsidRPr="00000000" w14:paraId="000000A5">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A6">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A7">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Andhra Pradesh</w:t>
            </w:r>
          </w:p>
        </w:tc>
        <w:tc>
          <w:tcPr>
            <w:tcBorders>
              <w:top w:color="cccccc" w:space="0" w:sz="7" w:val="single"/>
              <w:left w:color="cccccc" w:space="0" w:sz="7" w:val="single"/>
              <w:bottom w:color="cccccc" w:space="0" w:sz="7" w:val="single"/>
              <w:right w:color="cccccc" w:space="0" w:sz="7" w:val="single"/>
            </w:tcBorders>
            <w:shd w:fill="c582a5" w:val="clear"/>
            <w:tcMar>
              <w:top w:w="40.0" w:type="dxa"/>
              <w:left w:w="40.0" w:type="dxa"/>
              <w:bottom w:w="40.0" w:type="dxa"/>
              <w:right w:w="40.0" w:type="dxa"/>
            </w:tcMar>
            <w:vAlign w:val="bottom"/>
          </w:tcPr>
          <w:p w:rsidR="00000000" w:rsidDel="00000000" w:rsidP="00000000" w:rsidRDefault="00000000" w:rsidRPr="00000000" w14:paraId="000000A8">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A9">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AA">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Telangana</w:t>
            </w:r>
          </w:p>
        </w:tc>
        <w:tc>
          <w:tcPr>
            <w:tcBorders>
              <w:top w:color="cccccc" w:space="0" w:sz="7" w:val="single"/>
              <w:left w:color="cccccc" w:space="0" w:sz="7" w:val="single"/>
              <w:bottom w:color="cccccc" w:space="0" w:sz="7" w:val="single"/>
              <w:right w:color="cccccc" w:space="0" w:sz="7" w:val="single"/>
            </w:tcBorders>
            <w:shd w:fill="c98aab" w:val="clear"/>
            <w:tcMar>
              <w:top w:w="40.0" w:type="dxa"/>
              <w:left w:w="40.0" w:type="dxa"/>
              <w:bottom w:w="40.0" w:type="dxa"/>
              <w:right w:w="40.0" w:type="dxa"/>
            </w:tcMar>
            <w:vAlign w:val="bottom"/>
          </w:tcPr>
          <w:p w:rsidR="00000000" w:rsidDel="00000000" w:rsidP="00000000" w:rsidRDefault="00000000" w:rsidRPr="00000000" w14:paraId="000000AB">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AC">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AD">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Kerala</w:t>
            </w:r>
          </w:p>
        </w:tc>
        <w:tc>
          <w:tcPr>
            <w:tcBorders>
              <w:top w:color="cccccc" w:space="0" w:sz="7" w:val="single"/>
              <w:left w:color="cccccc" w:space="0" w:sz="7" w:val="single"/>
              <w:bottom w:color="cccccc" w:space="0" w:sz="7" w:val="single"/>
              <w:right w:color="cccccc" w:space="0" w:sz="7" w:val="single"/>
            </w:tcBorders>
            <w:shd w:fill="cc92b0" w:val="clear"/>
            <w:tcMar>
              <w:top w:w="40.0" w:type="dxa"/>
              <w:left w:w="40.0" w:type="dxa"/>
              <w:bottom w:w="40.0" w:type="dxa"/>
              <w:right w:w="40.0" w:type="dxa"/>
            </w:tcMar>
            <w:vAlign w:val="bottom"/>
          </w:tcPr>
          <w:p w:rsidR="00000000" w:rsidDel="00000000" w:rsidP="00000000" w:rsidRDefault="00000000" w:rsidRPr="00000000" w14:paraId="000000AE">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AF">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B0">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Tamil Nadu</w:t>
            </w:r>
          </w:p>
        </w:tc>
        <w:tc>
          <w:tcPr>
            <w:tcBorders>
              <w:top w:color="cccccc" w:space="0" w:sz="7" w:val="single"/>
              <w:left w:color="cccccc" w:space="0" w:sz="7" w:val="single"/>
              <w:bottom w:color="cccccc" w:space="0" w:sz="7" w:val="single"/>
              <w:right w:color="cccccc" w:space="0" w:sz="7" w:val="single"/>
            </w:tcBorders>
            <w:shd w:fill="d09ab6" w:val="clear"/>
            <w:tcMar>
              <w:top w:w="40.0" w:type="dxa"/>
              <w:left w:w="40.0" w:type="dxa"/>
              <w:bottom w:w="40.0" w:type="dxa"/>
              <w:right w:w="40.0" w:type="dxa"/>
            </w:tcMar>
            <w:vAlign w:val="bottom"/>
          </w:tcPr>
          <w:p w:rsidR="00000000" w:rsidDel="00000000" w:rsidP="00000000" w:rsidRDefault="00000000" w:rsidRPr="00000000" w14:paraId="000000B1">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B2">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B3">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Chhattisgarh</w:t>
            </w:r>
          </w:p>
        </w:tc>
        <w:tc>
          <w:tcPr>
            <w:tcBorders>
              <w:top w:color="cccccc" w:space="0" w:sz="7" w:val="single"/>
              <w:left w:color="cccccc" w:space="0" w:sz="7" w:val="single"/>
              <w:bottom w:color="cccccc" w:space="0" w:sz="7" w:val="single"/>
              <w:right w:color="cccccc" w:space="0" w:sz="7" w:val="single"/>
            </w:tcBorders>
            <w:shd w:fill="d3a1bb" w:val="clear"/>
            <w:tcMar>
              <w:top w:w="40.0" w:type="dxa"/>
              <w:left w:w="40.0" w:type="dxa"/>
              <w:bottom w:w="40.0" w:type="dxa"/>
              <w:right w:w="40.0" w:type="dxa"/>
            </w:tcMar>
            <w:vAlign w:val="bottom"/>
          </w:tcPr>
          <w:p w:rsidR="00000000" w:rsidDel="00000000" w:rsidP="00000000" w:rsidRDefault="00000000" w:rsidRPr="00000000" w14:paraId="000000B4">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B5">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B6">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Madhya Pradesh</w:t>
            </w:r>
          </w:p>
        </w:tc>
        <w:tc>
          <w:tcPr>
            <w:tcBorders>
              <w:top w:color="cccccc" w:space="0" w:sz="7" w:val="single"/>
              <w:left w:color="cccccc" w:space="0" w:sz="7" w:val="single"/>
              <w:bottom w:color="cccccc" w:space="0" w:sz="7" w:val="single"/>
              <w:right w:color="cccccc" w:space="0" w:sz="7" w:val="single"/>
            </w:tcBorders>
            <w:shd w:fill="d7a9c1" w:val="clear"/>
            <w:tcMar>
              <w:top w:w="40.0" w:type="dxa"/>
              <w:left w:w="40.0" w:type="dxa"/>
              <w:bottom w:w="40.0" w:type="dxa"/>
              <w:right w:w="40.0" w:type="dxa"/>
            </w:tcMar>
            <w:vAlign w:val="bottom"/>
          </w:tcPr>
          <w:p w:rsidR="00000000" w:rsidDel="00000000" w:rsidP="00000000" w:rsidRDefault="00000000" w:rsidRPr="00000000" w14:paraId="000000B7">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B8">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B9">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Odisha</w:t>
            </w:r>
          </w:p>
        </w:tc>
        <w:tc>
          <w:tcPr>
            <w:tcBorders>
              <w:top w:color="cccccc" w:space="0" w:sz="7" w:val="single"/>
              <w:left w:color="cccccc" w:space="0" w:sz="7" w:val="single"/>
              <w:bottom w:color="cccccc" w:space="0" w:sz="7" w:val="single"/>
              <w:right w:color="cccccc" w:space="0" w:sz="7" w:val="single"/>
            </w:tcBorders>
            <w:shd w:fill="dbb1c7" w:val="clear"/>
            <w:tcMar>
              <w:top w:w="40.0" w:type="dxa"/>
              <w:left w:w="40.0" w:type="dxa"/>
              <w:bottom w:w="40.0" w:type="dxa"/>
              <w:right w:w="40.0" w:type="dxa"/>
            </w:tcMar>
            <w:vAlign w:val="bottom"/>
          </w:tcPr>
          <w:p w:rsidR="00000000" w:rsidDel="00000000" w:rsidP="00000000" w:rsidRDefault="00000000" w:rsidRPr="00000000" w14:paraId="000000BA">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BB">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11</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BC">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Punjab</w:t>
            </w:r>
          </w:p>
        </w:tc>
        <w:tc>
          <w:tcPr>
            <w:tcBorders>
              <w:top w:color="cccccc" w:space="0" w:sz="7" w:val="single"/>
              <w:left w:color="cccccc" w:space="0" w:sz="7" w:val="single"/>
              <w:bottom w:color="cccccc" w:space="0" w:sz="7" w:val="single"/>
              <w:right w:color="cccccc" w:space="0" w:sz="7" w:val="single"/>
            </w:tcBorders>
            <w:shd w:fill="deb9cc" w:val="clear"/>
            <w:tcMar>
              <w:top w:w="40.0" w:type="dxa"/>
              <w:left w:w="40.0" w:type="dxa"/>
              <w:bottom w:w="40.0" w:type="dxa"/>
              <w:right w:w="40.0" w:type="dxa"/>
            </w:tcMar>
            <w:vAlign w:val="bottom"/>
          </w:tcPr>
          <w:p w:rsidR="00000000" w:rsidDel="00000000" w:rsidP="00000000" w:rsidRDefault="00000000" w:rsidRPr="00000000" w14:paraId="000000BD">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BE">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r>
      <w:tr>
        <w:trPr>
          <w:cantSplit w:val="0"/>
          <w:trHeight w:val="375" w:hRule="atLeast"/>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BF">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Maharashtra</w:t>
            </w:r>
          </w:p>
        </w:tc>
        <w:tc>
          <w:tcPr>
            <w:tcBorders>
              <w:top w:color="cccccc" w:space="0" w:sz="7" w:val="single"/>
              <w:left w:color="cccccc" w:space="0" w:sz="7" w:val="single"/>
              <w:bottom w:color="cccccc" w:space="0" w:sz="7" w:val="single"/>
              <w:right w:color="cccccc" w:space="0" w:sz="7" w:val="single"/>
            </w:tcBorders>
            <w:shd w:fill="e2c0d2" w:val="clear"/>
            <w:tcMar>
              <w:top w:w="40.0" w:type="dxa"/>
              <w:left w:w="40.0" w:type="dxa"/>
              <w:bottom w:w="40.0" w:type="dxa"/>
              <w:right w:w="40.0" w:type="dxa"/>
            </w:tcMar>
            <w:vAlign w:val="bottom"/>
          </w:tcPr>
          <w:p w:rsidR="00000000" w:rsidDel="00000000" w:rsidP="00000000" w:rsidRDefault="00000000" w:rsidRPr="00000000" w14:paraId="000000C0">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C1">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C2">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Gujarat</w:t>
            </w:r>
          </w:p>
        </w:tc>
        <w:tc>
          <w:tcPr>
            <w:tcBorders>
              <w:top w:color="cccccc" w:space="0" w:sz="7" w:val="single"/>
              <w:left w:color="cccccc" w:space="0" w:sz="7" w:val="single"/>
              <w:bottom w:color="cccccc" w:space="0" w:sz="7" w:val="single"/>
              <w:right w:color="cccccc" w:space="0" w:sz="7" w:val="single"/>
            </w:tcBorders>
            <w:shd w:fill="e5c8d7" w:val="clear"/>
            <w:tcMar>
              <w:top w:w="40.0" w:type="dxa"/>
              <w:left w:w="40.0" w:type="dxa"/>
              <w:bottom w:w="40.0" w:type="dxa"/>
              <w:right w:w="40.0" w:type="dxa"/>
            </w:tcMar>
            <w:vAlign w:val="bottom"/>
          </w:tcPr>
          <w:p w:rsidR="00000000" w:rsidDel="00000000" w:rsidP="00000000" w:rsidRDefault="00000000" w:rsidRPr="00000000" w14:paraId="000000C3">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11</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C4">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C5">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Haryana</w:t>
            </w:r>
          </w:p>
        </w:tc>
        <w:tc>
          <w:tcPr>
            <w:tcBorders>
              <w:top w:color="cccccc" w:space="0" w:sz="7" w:val="single"/>
              <w:left w:color="cccccc" w:space="0" w:sz="7" w:val="single"/>
              <w:bottom w:color="cccccc" w:space="0" w:sz="7" w:val="single"/>
              <w:right w:color="cccccc" w:space="0" w:sz="7" w:val="single"/>
            </w:tcBorders>
            <w:shd w:fill="e9d0dd" w:val="clear"/>
            <w:tcMar>
              <w:top w:w="40.0" w:type="dxa"/>
              <w:left w:w="40.0" w:type="dxa"/>
              <w:bottom w:w="40.0" w:type="dxa"/>
              <w:right w:w="40.0" w:type="dxa"/>
            </w:tcMar>
            <w:vAlign w:val="bottom"/>
          </w:tcPr>
          <w:p w:rsidR="00000000" w:rsidDel="00000000" w:rsidP="00000000" w:rsidRDefault="00000000" w:rsidRPr="00000000" w14:paraId="000000C6">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C7">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13</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C8">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Bihar</w:t>
            </w:r>
          </w:p>
        </w:tc>
        <w:tc>
          <w:tcPr>
            <w:tcBorders>
              <w:top w:color="cccccc" w:space="0" w:sz="7" w:val="single"/>
              <w:left w:color="cccccc" w:space="0" w:sz="7" w:val="single"/>
              <w:bottom w:color="cccccc" w:space="0" w:sz="7" w:val="single"/>
              <w:right w:color="cccccc" w:space="0" w:sz="7" w:val="single"/>
            </w:tcBorders>
            <w:shd w:fill="edd8e3" w:val="clear"/>
            <w:tcMar>
              <w:top w:w="40.0" w:type="dxa"/>
              <w:left w:w="40.0" w:type="dxa"/>
              <w:bottom w:w="40.0" w:type="dxa"/>
              <w:right w:w="40.0" w:type="dxa"/>
            </w:tcMar>
            <w:vAlign w:val="bottom"/>
          </w:tcPr>
          <w:p w:rsidR="00000000" w:rsidDel="00000000" w:rsidP="00000000" w:rsidRDefault="00000000" w:rsidRPr="00000000" w14:paraId="000000C9">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13</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CA">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16</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CB">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Rajasthan</w:t>
            </w:r>
          </w:p>
        </w:tc>
        <w:tc>
          <w:tcPr>
            <w:tcBorders>
              <w:top w:color="cccccc" w:space="0" w:sz="7" w:val="single"/>
              <w:left w:color="cccccc" w:space="0" w:sz="7" w:val="single"/>
              <w:bottom w:color="cccccc" w:space="0" w:sz="7" w:val="single"/>
              <w:right w:color="cccccc" w:space="0" w:sz="7" w:val="single"/>
            </w:tcBorders>
            <w:shd w:fill="f0dfe8" w:val="clear"/>
            <w:tcMar>
              <w:top w:w="40.0" w:type="dxa"/>
              <w:left w:w="40.0" w:type="dxa"/>
              <w:bottom w:w="40.0" w:type="dxa"/>
              <w:right w:w="40.0" w:type="dxa"/>
            </w:tcMar>
            <w:vAlign w:val="bottom"/>
          </w:tcPr>
          <w:p w:rsidR="00000000" w:rsidDel="00000000" w:rsidP="00000000" w:rsidRDefault="00000000" w:rsidRPr="00000000" w14:paraId="000000CC">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14</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CD">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15</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CE">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Jharkhand</w:t>
            </w:r>
          </w:p>
        </w:tc>
        <w:tc>
          <w:tcPr>
            <w:tcBorders>
              <w:top w:color="cccccc" w:space="0" w:sz="7" w:val="single"/>
              <w:left w:color="cccccc" w:space="0" w:sz="7" w:val="single"/>
              <w:bottom w:color="cccccc" w:space="0" w:sz="7" w:val="single"/>
              <w:right w:color="cccccc" w:space="0" w:sz="7" w:val="single"/>
            </w:tcBorders>
            <w:shd w:fill="f4e7ee" w:val="clear"/>
            <w:tcMar>
              <w:top w:w="40.0" w:type="dxa"/>
              <w:left w:w="40.0" w:type="dxa"/>
              <w:bottom w:w="40.0" w:type="dxa"/>
              <w:right w:w="40.0" w:type="dxa"/>
            </w:tcMar>
            <w:vAlign w:val="bottom"/>
          </w:tcPr>
          <w:p w:rsidR="00000000" w:rsidDel="00000000" w:rsidP="00000000" w:rsidRDefault="00000000" w:rsidRPr="00000000" w14:paraId="000000CF">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15</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D0">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D1">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Uttarakhand</w:t>
            </w:r>
          </w:p>
        </w:tc>
        <w:tc>
          <w:tcPr>
            <w:tcBorders>
              <w:top w:color="cccccc" w:space="0" w:sz="7" w:val="single"/>
              <w:left w:color="cccccc" w:space="0" w:sz="7" w:val="single"/>
              <w:bottom w:color="cccccc" w:space="0" w:sz="7" w:val="single"/>
              <w:right w:color="cccccc" w:space="0" w:sz="7" w:val="single"/>
            </w:tcBorders>
            <w:shd w:fill="f7eff3" w:val="clear"/>
            <w:tcMar>
              <w:top w:w="40.0" w:type="dxa"/>
              <w:left w:w="40.0" w:type="dxa"/>
              <w:bottom w:w="40.0" w:type="dxa"/>
              <w:right w:w="40.0" w:type="dxa"/>
            </w:tcMar>
            <w:vAlign w:val="bottom"/>
          </w:tcPr>
          <w:p w:rsidR="00000000" w:rsidDel="00000000" w:rsidP="00000000" w:rsidRDefault="00000000" w:rsidRPr="00000000" w14:paraId="000000D2">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16</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D3">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14</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D4">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Uttar Pradesh</w:t>
            </w:r>
          </w:p>
        </w:tc>
        <w:tc>
          <w:tcPr>
            <w:tcBorders>
              <w:top w:color="cccccc" w:space="0" w:sz="7" w:val="single"/>
              <w:left w:color="cccccc" w:space="0" w:sz="7" w:val="single"/>
              <w:bottom w:color="cccccc" w:space="0" w:sz="7" w:val="single"/>
              <w:right w:color="cccccc" w:space="0" w:sz="7" w:val="single"/>
            </w:tcBorders>
            <w:shd w:fill="fbf7f9" w:val="clear"/>
            <w:tcMar>
              <w:top w:w="40.0" w:type="dxa"/>
              <w:left w:w="40.0" w:type="dxa"/>
              <w:bottom w:w="40.0" w:type="dxa"/>
              <w:right w:w="40.0" w:type="dxa"/>
            </w:tcMar>
            <w:vAlign w:val="bottom"/>
          </w:tcPr>
          <w:p w:rsidR="00000000" w:rsidDel="00000000" w:rsidP="00000000" w:rsidRDefault="00000000" w:rsidRPr="00000000" w14:paraId="000000D5">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17</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D6">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18</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center"/>
          </w:tcPr>
          <w:p w:rsidR="00000000" w:rsidDel="00000000" w:rsidP="00000000" w:rsidRDefault="00000000" w:rsidRPr="00000000" w14:paraId="000000D7">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West Bengal</w:t>
            </w:r>
          </w:p>
        </w:tc>
        <w:tc>
          <w:tcPr>
            <w:tcBorders>
              <w:top w:color="cccccc" w:space="0" w:sz="7" w:val="single"/>
              <w:left w:color="cccccc" w:space="0" w:sz="7" w:val="single"/>
              <w:bottom w:color="cccccc" w:space="0" w:sz="7" w:val="single"/>
              <w:right w:color="cccccc" w:space="0" w:sz="7" w:val="single"/>
            </w:tcBorders>
            <w:shd w:fill="ffffff" w:val="clear"/>
            <w:tcMar>
              <w:top w:w="40.0" w:type="dxa"/>
              <w:left w:w="40.0" w:type="dxa"/>
              <w:bottom w:w="40.0" w:type="dxa"/>
              <w:right w:w="40.0" w:type="dxa"/>
            </w:tcMar>
            <w:vAlign w:val="bottom"/>
          </w:tcPr>
          <w:p w:rsidR="00000000" w:rsidDel="00000000" w:rsidP="00000000" w:rsidRDefault="00000000" w:rsidRPr="00000000" w14:paraId="000000D8">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18</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D9">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17</w:t>
            </w:r>
          </w:p>
        </w:tc>
      </w:tr>
    </w:tbl>
    <w:p w:rsidR="00000000" w:rsidDel="00000000" w:rsidP="00000000" w:rsidRDefault="00000000" w:rsidRPr="00000000" w14:paraId="000000DA">
      <w:pPr>
        <w:spacing w:line="240" w:lineRule="auto"/>
        <w:rPr>
          <w:rFonts w:ascii="Calibri" w:cs="Calibri" w:eastAsia="Calibri" w:hAnsi="Calibri"/>
          <w:b w:val="1"/>
          <w:sz w:val="18"/>
          <w:szCs w:val="18"/>
        </w:rPr>
      </w:pPr>
      <w:r w:rsidDel="00000000" w:rsidR="00000000" w:rsidRPr="00000000">
        <w:rPr>
          <w:rtl w:val="0"/>
        </w:rPr>
      </w:r>
    </w:p>
    <w:p w:rsidR="00000000" w:rsidDel="00000000" w:rsidP="00000000" w:rsidRDefault="00000000" w:rsidRPr="00000000" w14:paraId="000000DB">
      <w:pPr>
        <w:spacing w:line="240" w:lineRule="auto"/>
        <w:rPr>
          <w:rFonts w:ascii="Calibri" w:cs="Calibri" w:eastAsia="Calibri" w:hAnsi="Calibri"/>
          <w:b w:val="1"/>
        </w:rPr>
      </w:pPr>
      <w:r w:rsidDel="00000000" w:rsidR="00000000" w:rsidRPr="00000000">
        <w:rPr>
          <w:rFonts w:ascii="Calibri" w:cs="Calibri" w:eastAsia="Calibri" w:hAnsi="Calibri"/>
          <w:b w:val="1"/>
          <w:rtl w:val="0"/>
        </w:rPr>
        <w:t xml:space="preserve">The ranking of the seven small states is:</w:t>
      </w:r>
    </w:p>
    <w:p w:rsidR="00000000" w:rsidDel="00000000" w:rsidP="00000000" w:rsidRDefault="00000000" w:rsidRPr="00000000" w14:paraId="000000DC">
      <w:pPr>
        <w:spacing w:line="240" w:lineRule="auto"/>
        <w:rPr>
          <w:rFonts w:ascii="Calibri" w:cs="Calibri" w:eastAsia="Calibri" w:hAnsi="Calibri"/>
          <w:sz w:val="18"/>
          <w:szCs w:val="18"/>
        </w:rPr>
      </w:pPr>
      <w:r w:rsidDel="00000000" w:rsidR="00000000" w:rsidRPr="00000000">
        <w:rPr>
          <w:rtl w:val="0"/>
        </w:rPr>
      </w:r>
    </w:p>
    <w:tbl>
      <w:tblPr>
        <w:tblStyle w:val="Table5"/>
        <w:tblW w:w="5858.0" w:type="dxa"/>
        <w:jc w:val="left"/>
        <w:tblLayout w:type="fixed"/>
        <w:tblLook w:val="0400"/>
      </w:tblPr>
      <w:tblGrid>
        <w:gridCol w:w="2881"/>
        <w:gridCol w:w="1489"/>
        <w:gridCol w:w="1488"/>
        <w:tblGridChange w:id="0">
          <w:tblGrid>
            <w:gridCol w:w="2881"/>
            <w:gridCol w:w="1489"/>
            <w:gridCol w:w="1488"/>
          </w:tblGrid>
        </w:tblGridChange>
      </w:tblGrid>
      <w:tr>
        <w:trPr>
          <w:cantSplit w:val="0"/>
          <w:tblHeader w:val="1"/>
        </w:trPr>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DD">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State</w:t>
            </w:r>
            <w:r w:rsidDel="00000000" w:rsidR="00000000" w:rsidRPr="00000000">
              <w:rPr>
                <w:rtl w:val="0"/>
              </w:rPr>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DE">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b w:val="1"/>
                <w:sz w:val="20"/>
                <w:szCs w:val="20"/>
                <w:rtl w:val="0"/>
              </w:rPr>
              <w:t xml:space="preserve">Rank 2025</w:t>
            </w:r>
            <w:r w:rsidDel="00000000" w:rsidR="00000000" w:rsidRPr="00000000">
              <w:rPr>
                <w:rtl w:val="0"/>
              </w:rPr>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DF">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b w:val="1"/>
                <w:color w:val="ff0000"/>
                <w:sz w:val="20"/>
                <w:szCs w:val="20"/>
                <w:rtl w:val="0"/>
              </w:rPr>
              <w:t xml:space="preserve">Rank 2022</w:t>
            </w:r>
            <w:r w:rsidDel="00000000" w:rsidR="00000000" w:rsidRPr="00000000">
              <w:rPr>
                <w:rtl w:val="0"/>
              </w:rPr>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E0">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Sikkim</w:t>
            </w:r>
          </w:p>
        </w:tc>
        <w:tc>
          <w:tcPr>
            <w:tcBorders>
              <w:top w:color="cccccc" w:space="0" w:sz="7" w:val="single"/>
              <w:left w:color="cccccc" w:space="0" w:sz="7" w:val="single"/>
              <w:bottom w:color="cccccc" w:space="0" w:sz="7" w:val="single"/>
              <w:right w:color="cccccc" w:space="0" w:sz="7" w:val="single"/>
            </w:tcBorders>
            <w:shd w:fill="c27ba0" w:val="clear"/>
            <w:tcMar>
              <w:top w:w="40.0" w:type="dxa"/>
              <w:left w:w="40.0" w:type="dxa"/>
              <w:bottom w:w="40.0" w:type="dxa"/>
              <w:right w:w="40.0" w:type="dxa"/>
            </w:tcMar>
            <w:vAlign w:val="bottom"/>
          </w:tcPr>
          <w:p w:rsidR="00000000" w:rsidDel="00000000" w:rsidP="00000000" w:rsidRDefault="00000000" w:rsidRPr="00000000" w14:paraId="000000E1">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E2">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bottom"/>
          </w:tcPr>
          <w:p w:rsidR="00000000" w:rsidDel="00000000" w:rsidP="00000000" w:rsidRDefault="00000000" w:rsidRPr="00000000" w14:paraId="000000E3">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Himachal Pradesh</w:t>
            </w:r>
          </w:p>
        </w:tc>
        <w:tc>
          <w:tcPr>
            <w:tcBorders>
              <w:top w:color="cccccc" w:space="0" w:sz="7" w:val="single"/>
              <w:left w:color="cccccc" w:space="0" w:sz="7" w:val="single"/>
              <w:bottom w:color="cccccc" w:space="0" w:sz="7" w:val="single"/>
              <w:right w:color="cccccc" w:space="0" w:sz="7" w:val="single"/>
            </w:tcBorders>
            <w:shd w:fill="cc91af" w:val="clear"/>
            <w:tcMar>
              <w:top w:w="40.0" w:type="dxa"/>
              <w:left w:w="40.0" w:type="dxa"/>
              <w:bottom w:w="40.0" w:type="dxa"/>
              <w:right w:w="40.0" w:type="dxa"/>
            </w:tcMar>
            <w:vAlign w:val="bottom"/>
          </w:tcPr>
          <w:p w:rsidR="00000000" w:rsidDel="00000000" w:rsidP="00000000" w:rsidRDefault="00000000" w:rsidRPr="00000000" w14:paraId="000000E4">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E5">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bottom"/>
          </w:tcPr>
          <w:p w:rsidR="00000000" w:rsidDel="00000000" w:rsidP="00000000" w:rsidRDefault="00000000" w:rsidRPr="00000000" w14:paraId="000000E6">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Arunachal Pradesh</w:t>
            </w:r>
          </w:p>
        </w:tc>
        <w:tc>
          <w:tcPr>
            <w:tcBorders>
              <w:top w:color="cccccc" w:space="0" w:sz="7" w:val="single"/>
              <w:left w:color="cccccc" w:space="0" w:sz="7" w:val="single"/>
              <w:bottom w:color="cccccc" w:space="0" w:sz="7" w:val="single"/>
              <w:right w:color="cccccc" w:space="0" w:sz="7" w:val="single"/>
            </w:tcBorders>
            <w:shd w:fill="d6a7bf" w:val="clear"/>
            <w:tcMar>
              <w:top w:w="40.0" w:type="dxa"/>
              <w:left w:w="40.0" w:type="dxa"/>
              <w:bottom w:w="40.0" w:type="dxa"/>
              <w:right w:w="40.0" w:type="dxa"/>
            </w:tcMar>
            <w:vAlign w:val="bottom"/>
          </w:tcPr>
          <w:p w:rsidR="00000000" w:rsidDel="00000000" w:rsidP="00000000" w:rsidRDefault="00000000" w:rsidRPr="00000000" w14:paraId="000000E7">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E8">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bottom"/>
          </w:tcPr>
          <w:p w:rsidR="00000000" w:rsidDel="00000000" w:rsidP="00000000" w:rsidRDefault="00000000" w:rsidRPr="00000000" w14:paraId="000000E9">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Tripura</w:t>
            </w:r>
          </w:p>
        </w:tc>
        <w:tc>
          <w:tcPr>
            <w:tcBorders>
              <w:top w:color="cccccc" w:space="0" w:sz="7" w:val="single"/>
              <w:left w:color="cccccc" w:space="0" w:sz="7" w:val="single"/>
              <w:bottom w:color="cccccc" w:space="0" w:sz="7" w:val="single"/>
              <w:right w:color="cccccc" w:space="0" w:sz="7" w:val="single"/>
            </w:tcBorders>
            <w:shd w:fill="e0bdcf" w:val="clear"/>
            <w:tcMar>
              <w:top w:w="40.0" w:type="dxa"/>
              <w:left w:w="40.0" w:type="dxa"/>
              <w:bottom w:w="40.0" w:type="dxa"/>
              <w:right w:w="40.0" w:type="dxa"/>
            </w:tcMar>
            <w:vAlign w:val="bottom"/>
          </w:tcPr>
          <w:p w:rsidR="00000000" w:rsidDel="00000000" w:rsidP="00000000" w:rsidRDefault="00000000" w:rsidRPr="00000000" w14:paraId="000000EA">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EB">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3</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bottom"/>
          </w:tcPr>
          <w:p w:rsidR="00000000" w:rsidDel="00000000" w:rsidP="00000000" w:rsidRDefault="00000000" w:rsidRPr="00000000" w14:paraId="000000EC">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Meghalaya</w:t>
            </w:r>
          </w:p>
        </w:tc>
        <w:tc>
          <w:tcPr>
            <w:tcBorders>
              <w:top w:color="cccccc" w:space="0" w:sz="7" w:val="single"/>
              <w:left w:color="cccccc" w:space="0" w:sz="7" w:val="single"/>
              <w:bottom w:color="cccccc" w:space="0" w:sz="7" w:val="single"/>
              <w:right w:color="cccccc" w:space="0" w:sz="7" w:val="single"/>
            </w:tcBorders>
            <w:shd w:fill="ead3df" w:val="clear"/>
            <w:tcMar>
              <w:top w:w="40.0" w:type="dxa"/>
              <w:left w:w="40.0" w:type="dxa"/>
              <w:bottom w:w="40.0" w:type="dxa"/>
              <w:right w:w="40.0" w:type="dxa"/>
            </w:tcMar>
            <w:vAlign w:val="bottom"/>
          </w:tcPr>
          <w:p w:rsidR="00000000" w:rsidDel="00000000" w:rsidP="00000000" w:rsidRDefault="00000000" w:rsidRPr="00000000" w14:paraId="000000ED">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EE">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4</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bottom"/>
          </w:tcPr>
          <w:p w:rsidR="00000000" w:rsidDel="00000000" w:rsidP="00000000" w:rsidRDefault="00000000" w:rsidRPr="00000000" w14:paraId="000000EF">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Mizoram</w:t>
            </w:r>
          </w:p>
        </w:tc>
        <w:tc>
          <w:tcPr>
            <w:tcBorders>
              <w:top w:color="cccccc" w:space="0" w:sz="7" w:val="single"/>
              <w:left w:color="cccccc" w:space="0" w:sz="7" w:val="single"/>
              <w:bottom w:color="cccccc" w:space="0" w:sz="7" w:val="single"/>
              <w:right w:color="cccccc" w:space="0" w:sz="7" w:val="single"/>
            </w:tcBorders>
            <w:shd w:fill="f4e9ef" w:val="clear"/>
            <w:tcMar>
              <w:top w:w="40.0" w:type="dxa"/>
              <w:left w:w="40.0" w:type="dxa"/>
              <w:bottom w:w="40.0" w:type="dxa"/>
              <w:right w:w="40.0" w:type="dxa"/>
            </w:tcMar>
            <w:vAlign w:val="bottom"/>
          </w:tcPr>
          <w:p w:rsidR="00000000" w:rsidDel="00000000" w:rsidP="00000000" w:rsidRDefault="00000000" w:rsidRPr="00000000" w14:paraId="000000F0">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F1">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5</w:t>
            </w:r>
          </w:p>
        </w:tc>
      </w:tr>
      <w:tr>
        <w:trPr>
          <w:cantSplit w:val="0"/>
          <w:tblHeader w:val="0"/>
        </w:trPr>
        <w:tc>
          <w:tcPr>
            <w:tcBorders>
              <w:top w:color="cccccc" w:space="0" w:sz="7" w:val="single"/>
              <w:left w:color="cccccc" w:space="0" w:sz="7" w:val="single"/>
              <w:bottom w:color="cccccc" w:space="0" w:sz="7" w:val="single"/>
              <w:right w:color="cccccc" w:space="0" w:sz="7" w:val="single"/>
            </w:tcBorders>
            <w:tcMar>
              <w:top w:w="0.0" w:type="dxa"/>
              <w:left w:w="40.0" w:type="dxa"/>
              <w:bottom w:w="0.0" w:type="dxa"/>
              <w:right w:w="40.0" w:type="dxa"/>
            </w:tcMar>
            <w:vAlign w:val="bottom"/>
          </w:tcPr>
          <w:p w:rsidR="00000000" w:rsidDel="00000000" w:rsidP="00000000" w:rsidRDefault="00000000" w:rsidRPr="00000000" w14:paraId="000000F2">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Goa</w:t>
            </w:r>
          </w:p>
        </w:tc>
        <w:tc>
          <w:tcPr>
            <w:tcBorders>
              <w:top w:color="cccccc" w:space="0" w:sz="7" w:val="single"/>
              <w:left w:color="cccccc" w:space="0" w:sz="7" w:val="single"/>
              <w:bottom w:color="cccccc" w:space="0" w:sz="7" w:val="single"/>
              <w:right w:color="cccccc" w:space="0" w:sz="7" w:val="single"/>
            </w:tcBorders>
            <w:shd w:fill="ffffff" w:val="clear"/>
            <w:tcMar>
              <w:top w:w="40.0" w:type="dxa"/>
              <w:left w:w="40.0" w:type="dxa"/>
              <w:bottom w:w="40.0" w:type="dxa"/>
              <w:right w:w="40.0" w:type="dxa"/>
            </w:tcMar>
            <w:vAlign w:val="bottom"/>
          </w:tcPr>
          <w:p w:rsidR="00000000" w:rsidDel="00000000" w:rsidP="00000000" w:rsidRDefault="00000000" w:rsidRPr="00000000" w14:paraId="000000F3">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c>
          <w:tcPr>
            <w:tcBorders>
              <w:top w:color="cccccc" w:space="0" w:sz="7" w:val="single"/>
              <w:left w:color="cccccc" w:space="0" w:sz="7" w:val="single"/>
              <w:bottom w:color="cccccc" w:space="0" w:sz="7" w:val="single"/>
              <w:right w:color="cccccc" w:space="0" w:sz="7" w:val="single"/>
            </w:tcBorders>
            <w:tcMar>
              <w:top w:w="40.0" w:type="dxa"/>
              <w:left w:w="40.0" w:type="dxa"/>
              <w:bottom w:w="40.0" w:type="dxa"/>
              <w:right w:w="40.0" w:type="dxa"/>
            </w:tcMar>
            <w:vAlign w:val="bottom"/>
          </w:tcPr>
          <w:p w:rsidR="00000000" w:rsidDel="00000000" w:rsidP="00000000" w:rsidRDefault="00000000" w:rsidRPr="00000000" w14:paraId="000000F4">
            <w:pPr>
              <w:widowControl w:val="0"/>
              <w:spacing w:line="240" w:lineRule="auto"/>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w:t>
            </w:r>
          </w:p>
        </w:tc>
      </w:tr>
    </w:tbl>
    <w:p w:rsidR="00000000" w:rsidDel="00000000" w:rsidP="00000000" w:rsidRDefault="00000000" w:rsidRPr="00000000" w14:paraId="000000F5">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6">
      <w:pPr>
        <w:rPr>
          <w:rFonts w:ascii="Calibri" w:cs="Calibri" w:eastAsia="Calibri" w:hAnsi="Calibri"/>
          <w:b w:val="1"/>
          <w:u w:val="singl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177800</wp:posOffset>
                </wp:positionV>
                <wp:extent cx="6310433" cy="4305160"/>
                <wp:effectExtent b="0" l="0" r="0" t="0"/>
                <wp:wrapNone/>
                <wp:docPr id="23" name=""/>
                <a:graphic>
                  <a:graphicData uri="http://schemas.microsoft.com/office/word/2010/wordprocessingShape">
                    <wps:wsp>
                      <wps:cNvSpPr/>
                      <wps:cNvPr id="2" name="Shape 2"/>
                      <wps:spPr>
                        <a:xfrm>
                          <a:off x="2195550" y="1663800"/>
                          <a:ext cx="6300900" cy="4296000"/>
                        </a:xfrm>
                        <a:prstGeom prst="rect">
                          <a:avLst/>
                        </a:prstGeom>
                        <a:solidFill>
                          <a:schemeClr val="lt1"/>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t xml:space="preserve">VACANCIES: </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Nationally, vacancies in the justice system are at:</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Police</w:t>
                            </w:r>
                            <w:r w:rsidDel="00000000" w:rsidR="00000000" w:rsidRPr="00000000">
                              <w:rPr>
                                <w:rFonts w:ascii="Calibri" w:cs="Calibri" w:eastAsia="Calibri" w:hAnsi="Calibri"/>
                                <w:b w:val="0"/>
                                <w:i w:val="0"/>
                                <w:smallCaps w:val="0"/>
                                <w:strike w:val="0"/>
                                <w:color w:val="000000"/>
                                <w:sz w:val="24"/>
                                <w:vertAlign w:val="baseline"/>
                              </w:rPr>
                              <w:t xml:space="preserve">: 21% (Constables); 28% (Officers)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Prisons</w:t>
                            </w:r>
                            <w:r w:rsidDel="00000000" w:rsidR="00000000" w:rsidRPr="00000000">
                              <w:rPr>
                                <w:rFonts w:ascii="Calibri" w:cs="Calibri" w:eastAsia="Calibri" w:hAnsi="Calibri"/>
                                <w:b w:val="0"/>
                                <w:i w:val="0"/>
                                <w:smallCaps w:val="0"/>
                                <w:strike w:val="0"/>
                                <w:color w:val="000000"/>
                                <w:sz w:val="24"/>
                                <w:vertAlign w:val="baseline"/>
                              </w:rPr>
                              <w:t xml:space="preserve">: 28% (Officers), 28% (Cadre Staff), 44% (Correctional Staff), 40% (Medical Staff), 43% (Medical Officers)</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Judiciary</w:t>
                            </w:r>
                            <w:r w:rsidDel="00000000" w:rsidR="00000000" w:rsidRPr="00000000">
                              <w:rPr>
                                <w:rFonts w:ascii="Calibri" w:cs="Calibri" w:eastAsia="Calibri" w:hAnsi="Calibri"/>
                                <w:b w:val="0"/>
                                <w:i w:val="0"/>
                                <w:smallCaps w:val="0"/>
                                <w:strike w:val="0"/>
                                <w:color w:val="000000"/>
                                <w:sz w:val="24"/>
                                <w:vertAlign w:val="baseline"/>
                              </w:rPr>
                              <w:t xml:space="preserve">: 33% (High Court Judges), 21% (district Court Judges), 27% (High Court Staff)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Legal aid</w:t>
                            </w:r>
                            <w:r w:rsidDel="00000000" w:rsidR="00000000" w:rsidRPr="00000000">
                              <w:rPr>
                                <w:rFonts w:ascii="Calibri" w:cs="Calibri" w:eastAsia="Calibri" w:hAnsi="Calibri"/>
                                <w:b w:val="0"/>
                                <w:i w:val="0"/>
                                <w:smallCaps w:val="0"/>
                                <w:strike w:val="0"/>
                                <w:color w:val="000000"/>
                                <w:sz w:val="24"/>
                                <w:vertAlign w:val="baseline"/>
                              </w:rPr>
                              <w:t xml:space="preserve">: 6% (DLSA Secretary)</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u w:val="single"/>
                                <w:vertAlign w:val="baseline"/>
                              </w:rPr>
                              <w:t xml:space="preserve">Improvements: </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u w:val="single"/>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Police:</w:t>
                            </w:r>
                            <w:r w:rsidDel="00000000" w:rsidR="00000000" w:rsidRPr="00000000">
                              <w:rPr>
                                <w:rFonts w:ascii="Calibri" w:cs="Calibri" w:eastAsia="Calibri" w:hAnsi="Calibri"/>
                                <w:b w:val="0"/>
                                <w:i w:val="0"/>
                                <w:smallCaps w:val="0"/>
                                <w:strike w:val="0"/>
                                <w:color w:val="000000"/>
                                <w:sz w:val="24"/>
                                <w:vertAlign w:val="baseline"/>
                              </w:rPr>
                              <w:t xml:space="preserve"> Bihar in constabulary from 30% to 23%, and Karnataka among officers from 11% to 1.2%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Prisons:</w:t>
                            </w:r>
                            <w:r w:rsidDel="00000000" w:rsidR="00000000" w:rsidRPr="00000000">
                              <w:rPr>
                                <w:rFonts w:ascii="Calibri" w:cs="Calibri" w:eastAsia="Calibri" w:hAnsi="Calibri"/>
                                <w:b w:val="0"/>
                                <w:i w:val="0"/>
                                <w:smallCaps w:val="0"/>
                                <w:strike w:val="0"/>
                                <w:color w:val="000000"/>
                                <w:sz w:val="24"/>
                                <w:vertAlign w:val="baseline"/>
                              </w:rPr>
                              <w:t xml:space="preserve"> Madhya Pradesh from 72% to 31% among medical officers and Uttar Pradesh from 36% to 25% among officers</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Judiciary:</w:t>
                            </w:r>
                            <w:r w:rsidDel="00000000" w:rsidR="00000000" w:rsidRPr="00000000">
                              <w:rPr>
                                <w:rFonts w:ascii="Calibri" w:cs="Calibri" w:eastAsia="Calibri" w:hAnsi="Calibri"/>
                                <w:b w:val="0"/>
                                <w:i w:val="0"/>
                                <w:smallCaps w:val="0"/>
                                <w:strike w:val="0"/>
                                <w:color w:val="000000"/>
                                <w:sz w:val="24"/>
                                <w:vertAlign w:val="baseline"/>
                              </w:rPr>
                              <w:t xml:space="preserve"> Puducherry among district Court judges from 58% to 28%, and Tripura among High Court judges from 40 % to nil.</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Legal aid:</w:t>
                            </w:r>
                            <w:r w:rsidDel="00000000" w:rsidR="00000000" w:rsidRPr="00000000">
                              <w:rPr>
                                <w:rFonts w:ascii="Calibri" w:cs="Calibri" w:eastAsia="Calibri" w:hAnsi="Calibri"/>
                                <w:b w:val="0"/>
                                <w:i w:val="0"/>
                                <w:smallCaps w:val="0"/>
                                <w:strike w:val="0"/>
                                <w:color w:val="000000"/>
                                <w:sz w:val="24"/>
                                <w:vertAlign w:val="baseline"/>
                              </w:rPr>
                              <w:t xml:space="preserve"> Arunachal Pradesh for DLSA secretaries from 100% to nil</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177800</wp:posOffset>
                </wp:positionV>
                <wp:extent cx="6310433" cy="4305160"/>
                <wp:effectExtent b="0" l="0" r="0" t="0"/>
                <wp:wrapNone/>
                <wp:docPr id="23"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6310433" cy="4305160"/>
                        </a:xfrm>
                        <a:prstGeom prst="rect"/>
                        <a:ln/>
                      </pic:spPr>
                    </pic:pic>
                  </a:graphicData>
                </a:graphic>
              </wp:anchor>
            </w:drawing>
          </mc:Fallback>
        </mc:AlternateContent>
      </w:r>
    </w:p>
    <w:p w:rsidR="00000000" w:rsidDel="00000000" w:rsidP="00000000" w:rsidRDefault="00000000" w:rsidRPr="00000000" w14:paraId="000000F7">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8">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9">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A">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B">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D">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E">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FF">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0">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1">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2">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3">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4">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5">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6">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7">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8">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9">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A">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B">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D">
      <w:pPr>
        <w:rPr>
          <w:rFonts w:ascii="Calibri" w:cs="Calibri" w:eastAsia="Calibri" w:hAnsi="Calibri"/>
          <w:b w:val="1"/>
          <w:u w:val="singl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4763</wp:posOffset>
                </wp:positionH>
                <wp:positionV relativeFrom="paragraph">
                  <wp:posOffset>112601</wp:posOffset>
                </wp:positionV>
                <wp:extent cx="6309995" cy="1380014"/>
                <wp:effectExtent b="0" l="0" r="0" t="0"/>
                <wp:wrapNone/>
                <wp:docPr id="25" name=""/>
                <a:graphic>
                  <a:graphicData uri="http://schemas.microsoft.com/office/word/2010/wordprocessingShape">
                    <wps:wsp>
                      <wps:cNvSpPr/>
                      <wps:cNvPr id="4" name="Shape 4"/>
                      <wps:spPr>
                        <a:xfrm>
                          <a:off x="2195765" y="3100868"/>
                          <a:ext cx="6300470" cy="1358265"/>
                        </a:xfrm>
                        <a:prstGeom prst="rect">
                          <a:avLst/>
                        </a:prstGeom>
                        <a:solidFill>
                          <a:schemeClr val="lt1"/>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t xml:space="preserve">DIVERSITY</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r>
                            <w:r w:rsidDel="00000000" w:rsidR="00000000" w:rsidRPr="00000000">
                              <w:rPr>
                                <w:rFonts w:ascii="Calibri" w:cs="Calibri" w:eastAsia="Calibri" w:hAnsi="Calibri"/>
                                <w:b w:val="1"/>
                                <w:i w:val="1"/>
                                <w:smallCaps w:val="0"/>
                                <w:strike w:val="0"/>
                                <w:color w:val="000000"/>
                                <w:sz w:val="24"/>
                                <w:vertAlign w:val="baseline"/>
                              </w:rPr>
                              <w:t xml:space="preserve">SC/ST/OBC Representation: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1"/>
                                <w:i w:val="1"/>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Share in </w:t>
                            </w:r>
                            <w:r w:rsidDel="00000000" w:rsidR="00000000" w:rsidRPr="00000000">
                              <w:rPr>
                                <w:rFonts w:ascii="Calibri" w:cs="Calibri" w:eastAsia="Calibri" w:hAnsi="Calibri"/>
                                <w:b w:val="1"/>
                                <w:i w:val="0"/>
                                <w:smallCaps w:val="0"/>
                                <w:strike w:val="0"/>
                                <w:color w:val="000000"/>
                                <w:sz w:val="24"/>
                                <w:vertAlign w:val="baseline"/>
                              </w:rPr>
                              <w:t xml:space="preserve">Police</w:t>
                            </w:r>
                            <w:r w:rsidDel="00000000" w:rsidR="00000000" w:rsidRPr="00000000">
                              <w:rPr>
                                <w:rFonts w:ascii="Calibri" w:cs="Calibri" w:eastAsia="Calibri" w:hAnsi="Calibri"/>
                                <w:b w:val="0"/>
                                <w:i w:val="0"/>
                                <w:smallCaps w:val="0"/>
                                <w:strike w:val="0"/>
                                <w:color w:val="000000"/>
                                <w:sz w:val="24"/>
                                <w:vertAlign w:val="baseline"/>
                              </w:rPr>
                              <w:t xml:space="preserve">: </w:t>
                            </w:r>
                            <w:r w:rsidDel="00000000" w:rsidR="00000000" w:rsidRPr="00000000">
                              <w:rPr>
                                <w:rFonts w:ascii="Calibri" w:cs="Calibri" w:eastAsia="Calibri" w:hAnsi="Calibri"/>
                                <w:b w:val="1"/>
                                <w:i w:val="0"/>
                                <w:smallCaps w:val="0"/>
                                <w:strike w:val="0"/>
                                <w:color w:val="000000"/>
                                <w:sz w:val="24"/>
                                <w:vertAlign w:val="baseline"/>
                              </w:rPr>
                              <w:t xml:space="preserve">OBC</w:t>
                            </w:r>
                            <w:r w:rsidDel="00000000" w:rsidR="00000000" w:rsidRPr="00000000">
                              <w:rPr>
                                <w:rFonts w:ascii="Calibri" w:cs="Calibri" w:eastAsia="Calibri" w:hAnsi="Calibri"/>
                                <w:b w:val="0"/>
                                <w:i w:val="0"/>
                                <w:smallCaps w:val="0"/>
                                <w:strike w:val="0"/>
                                <w:color w:val="000000"/>
                                <w:sz w:val="24"/>
                                <w:vertAlign w:val="baseline"/>
                              </w:rPr>
                              <w:t xml:space="preserve">: 31%, </w:t>
                            </w:r>
                            <w:r w:rsidDel="00000000" w:rsidR="00000000" w:rsidRPr="00000000">
                              <w:rPr>
                                <w:rFonts w:ascii="Calibri" w:cs="Calibri" w:eastAsia="Calibri" w:hAnsi="Calibri"/>
                                <w:b w:val="1"/>
                                <w:i w:val="0"/>
                                <w:smallCaps w:val="0"/>
                                <w:strike w:val="0"/>
                                <w:color w:val="000000"/>
                                <w:sz w:val="24"/>
                                <w:vertAlign w:val="baseline"/>
                              </w:rPr>
                              <w:t xml:space="preserve">SC</w:t>
                            </w:r>
                            <w:r w:rsidDel="00000000" w:rsidR="00000000" w:rsidRPr="00000000">
                              <w:rPr>
                                <w:rFonts w:ascii="Calibri" w:cs="Calibri" w:eastAsia="Calibri" w:hAnsi="Calibri"/>
                                <w:b w:val="0"/>
                                <w:i w:val="0"/>
                                <w:smallCaps w:val="0"/>
                                <w:strike w:val="0"/>
                                <w:color w:val="000000"/>
                                <w:sz w:val="24"/>
                                <w:vertAlign w:val="baseline"/>
                              </w:rPr>
                              <w:t xml:space="preserve">: 17%, </w:t>
                            </w:r>
                            <w:r w:rsidDel="00000000" w:rsidR="00000000" w:rsidRPr="00000000">
                              <w:rPr>
                                <w:rFonts w:ascii="Calibri" w:cs="Calibri" w:eastAsia="Calibri" w:hAnsi="Calibri"/>
                                <w:b w:val="1"/>
                                <w:i w:val="0"/>
                                <w:smallCaps w:val="0"/>
                                <w:strike w:val="0"/>
                                <w:color w:val="000000"/>
                                <w:sz w:val="24"/>
                                <w:vertAlign w:val="baseline"/>
                              </w:rPr>
                              <w:t xml:space="preserve">ST</w:t>
                            </w:r>
                            <w:r w:rsidDel="00000000" w:rsidR="00000000" w:rsidRPr="00000000">
                              <w:rPr>
                                <w:rFonts w:ascii="Calibri" w:cs="Calibri" w:eastAsia="Calibri" w:hAnsi="Calibri"/>
                                <w:b w:val="0"/>
                                <w:i w:val="0"/>
                                <w:smallCaps w:val="0"/>
                                <w:strike w:val="0"/>
                                <w:color w:val="000000"/>
                                <w:sz w:val="24"/>
                                <w:vertAlign w:val="baseline"/>
                              </w:rPr>
                              <w:t xml:space="preserve">: 11%</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Share in </w:t>
                            </w:r>
                            <w:r w:rsidDel="00000000" w:rsidR="00000000" w:rsidRPr="00000000">
                              <w:rPr>
                                <w:rFonts w:ascii="Calibri" w:cs="Calibri" w:eastAsia="Calibri" w:hAnsi="Calibri"/>
                                <w:b w:val="1"/>
                                <w:i w:val="0"/>
                                <w:smallCaps w:val="0"/>
                                <w:strike w:val="0"/>
                                <w:color w:val="000000"/>
                                <w:sz w:val="24"/>
                                <w:vertAlign w:val="baseline"/>
                              </w:rPr>
                              <w:t xml:space="preserve">Judiciary</w:t>
                            </w:r>
                            <w:r w:rsidDel="00000000" w:rsidR="00000000" w:rsidRPr="00000000">
                              <w:rPr>
                                <w:rFonts w:ascii="Calibri" w:cs="Calibri" w:eastAsia="Calibri" w:hAnsi="Calibri"/>
                                <w:b w:val="0"/>
                                <w:i w:val="0"/>
                                <w:smallCaps w:val="0"/>
                                <w:strike w:val="0"/>
                                <w:color w:val="000000"/>
                                <w:sz w:val="24"/>
                                <w:vertAlign w:val="baseline"/>
                              </w:rPr>
                              <w:t xml:space="preserve">: OBC: 25.6%, </w:t>
                            </w:r>
                            <w:r w:rsidDel="00000000" w:rsidR="00000000" w:rsidRPr="00000000">
                              <w:rPr>
                                <w:rFonts w:ascii="Calibri" w:cs="Calibri" w:eastAsia="Calibri" w:hAnsi="Calibri"/>
                                <w:b w:val="1"/>
                                <w:i w:val="0"/>
                                <w:smallCaps w:val="0"/>
                                <w:strike w:val="0"/>
                                <w:color w:val="000000"/>
                                <w:sz w:val="24"/>
                                <w:vertAlign w:val="baseline"/>
                              </w:rPr>
                              <w:t xml:space="preserve">SC</w:t>
                            </w:r>
                            <w:r w:rsidDel="00000000" w:rsidR="00000000" w:rsidRPr="00000000">
                              <w:rPr>
                                <w:rFonts w:ascii="Calibri" w:cs="Calibri" w:eastAsia="Calibri" w:hAnsi="Calibri"/>
                                <w:b w:val="0"/>
                                <w:i w:val="0"/>
                                <w:smallCaps w:val="0"/>
                                <w:strike w:val="0"/>
                                <w:color w:val="000000"/>
                                <w:sz w:val="24"/>
                                <w:vertAlign w:val="baseline"/>
                              </w:rPr>
                              <w:t xml:space="preserve">: 14%, </w:t>
                            </w:r>
                            <w:r w:rsidDel="00000000" w:rsidR="00000000" w:rsidRPr="00000000">
                              <w:rPr>
                                <w:rFonts w:ascii="Calibri" w:cs="Calibri" w:eastAsia="Calibri" w:hAnsi="Calibri"/>
                                <w:b w:val="1"/>
                                <w:i w:val="0"/>
                                <w:smallCaps w:val="0"/>
                                <w:strike w:val="0"/>
                                <w:color w:val="000000"/>
                                <w:sz w:val="24"/>
                                <w:vertAlign w:val="baseline"/>
                              </w:rPr>
                              <w:t xml:space="preserve">ST</w:t>
                            </w:r>
                            <w:r w:rsidDel="00000000" w:rsidR="00000000" w:rsidRPr="00000000">
                              <w:rPr>
                                <w:rFonts w:ascii="Calibri" w:cs="Calibri" w:eastAsia="Calibri" w:hAnsi="Calibri"/>
                                <w:b w:val="0"/>
                                <w:i w:val="0"/>
                                <w:smallCaps w:val="0"/>
                                <w:strike w:val="0"/>
                                <w:color w:val="000000"/>
                                <w:sz w:val="24"/>
                                <w:vertAlign w:val="baseline"/>
                              </w:rPr>
                              <w:t xml:space="preserve">: 5%</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Karnataka remains the only state to consistently meet its quota for SC, ST and OBC positions, both among Police officers and the constabulary.</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4763</wp:posOffset>
                </wp:positionH>
                <wp:positionV relativeFrom="paragraph">
                  <wp:posOffset>112601</wp:posOffset>
                </wp:positionV>
                <wp:extent cx="6309995" cy="1380014"/>
                <wp:effectExtent b="0" l="0" r="0" t="0"/>
                <wp:wrapNone/>
                <wp:docPr id="25"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6309995" cy="1380014"/>
                        </a:xfrm>
                        <a:prstGeom prst="rect"/>
                        <a:ln/>
                      </pic:spPr>
                    </pic:pic>
                  </a:graphicData>
                </a:graphic>
              </wp:anchor>
            </w:drawing>
          </mc:Fallback>
        </mc:AlternateContent>
      </w:r>
    </w:p>
    <w:p w:rsidR="00000000" w:rsidDel="00000000" w:rsidP="00000000" w:rsidRDefault="00000000" w:rsidRPr="00000000" w14:paraId="0000010E">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0F">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0">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1">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2">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3">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4">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5">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6">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7">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8">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9">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A">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B">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D">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E">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1F">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0">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1">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2">
      <w:pPr>
        <w:rPr>
          <w:rFonts w:ascii="Calibri" w:cs="Calibri" w:eastAsia="Calibri" w:hAnsi="Calibri"/>
          <w:b w:val="1"/>
          <w:u w:val="singl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101600</wp:posOffset>
                </wp:positionV>
                <wp:extent cx="6309995" cy="4149559"/>
                <wp:effectExtent b="0" l="0" r="0" t="0"/>
                <wp:wrapNone/>
                <wp:docPr id="27" name=""/>
                <a:graphic>
                  <a:graphicData uri="http://schemas.microsoft.com/office/word/2010/wordprocessingShape">
                    <wps:wsp>
                      <wps:cNvSpPr/>
                      <wps:cNvPr id="6" name="Shape 6"/>
                      <wps:spPr>
                        <a:xfrm>
                          <a:off x="2195775" y="1636525"/>
                          <a:ext cx="6300600" cy="4132200"/>
                        </a:xfrm>
                        <a:prstGeom prst="rect">
                          <a:avLst/>
                        </a:prstGeom>
                        <a:solidFill>
                          <a:schemeClr val="lt1"/>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t xml:space="preserve">WOMEN IN THE JUSTICE SYSTEM: CHANGE OVER 5 YEARS OF THE INDIA JUSTICE REPORT </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Police: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overall share of women in the police has increased from 7.28% in 2016 to 12.32% in 2022.</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In the same period, at the officer level it has increased from 5.5% to 7.9%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Number of women in IPS ranks in 2022: 960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15 states/UTs still have less than 10% women in police </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Judiciary: </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 overall share of women judges in district judiciary has increased from 30% in 2017 to 38.3% in 2025</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Among the High Court judges the growth is from 11.4% in 2018 to 14% in 2025</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Legal Aid:</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1"/>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Share of women in panel lawyers has increased from 18% in 2018 to 28% in 2024</w:t>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Share of women paralegal volunteers has grown from 36% in 2019 to 42% in 2024</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101600</wp:posOffset>
                </wp:positionV>
                <wp:extent cx="6309995" cy="4149559"/>
                <wp:effectExtent b="0" l="0" r="0" t="0"/>
                <wp:wrapNone/>
                <wp:docPr id="27"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6309995" cy="4149559"/>
                        </a:xfrm>
                        <a:prstGeom prst="rect"/>
                        <a:ln/>
                      </pic:spPr>
                    </pic:pic>
                  </a:graphicData>
                </a:graphic>
              </wp:anchor>
            </w:drawing>
          </mc:Fallback>
        </mc:AlternateContent>
      </w:r>
    </w:p>
    <w:p w:rsidR="00000000" w:rsidDel="00000000" w:rsidP="00000000" w:rsidRDefault="00000000" w:rsidRPr="00000000" w14:paraId="00000123">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4">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5">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6">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7">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8">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9">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A">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B">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D">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E">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2F">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0">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1">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2">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3">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4">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5">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38">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39">
      <w:pPr>
        <w:rPr>
          <w:rFonts w:ascii="Calibri" w:cs="Calibri" w:eastAsia="Calibri" w:hAnsi="Calibri"/>
          <w:b w:val="1"/>
          <w:u w:val="singl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9526</wp:posOffset>
                </wp:positionH>
                <wp:positionV relativeFrom="paragraph">
                  <wp:posOffset>47625</wp:posOffset>
                </wp:positionV>
                <wp:extent cx="6305550" cy="3352607"/>
                <wp:effectExtent b="0" l="0" r="0" t="0"/>
                <wp:wrapNone/>
                <wp:docPr id="24" name=""/>
                <a:graphic>
                  <a:graphicData uri="http://schemas.microsoft.com/office/word/2010/wordprocessingShape">
                    <wps:wsp>
                      <wps:cNvSpPr/>
                      <wps:cNvPr id="3" name="Shape 3"/>
                      <wps:spPr>
                        <a:xfrm>
                          <a:off x="2195550" y="1800175"/>
                          <a:ext cx="6300900" cy="3668700"/>
                        </a:xfrm>
                        <a:prstGeom prst="rect">
                          <a:avLst/>
                        </a:prstGeom>
                        <a:solidFill>
                          <a:schemeClr val="lt1"/>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t xml:space="preserve">WORKLOAD</w:t>
                            </w:r>
                          </w:p>
                          <w:p w:rsidR="00000000" w:rsidDel="00000000" w:rsidP="00000000" w:rsidRDefault="00000000" w:rsidRPr="00000000">
                            <w:pPr>
                              <w:spacing w:after="0" w:before="0" w:line="240"/>
                              <w:ind w:left="72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1"/>
                                <w:i w:val="1"/>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Judiciary: Pending cases</w:t>
                            </w:r>
                            <w:r w:rsidDel="00000000" w:rsidR="00000000" w:rsidRPr="00000000">
                              <w:rPr>
                                <w:rFonts w:ascii="Calibri" w:cs="Calibri" w:eastAsia="Calibri" w:hAnsi="Calibri"/>
                                <w:b w:val="0"/>
                                <w:i w:val="0"/>
                                <w:smallCaps w:val="0"/>
                                <w:strike w:val="0"/>
                                <w:color w:val="000000"/>
                                <w:sz w:val="24"/>
                                <w:vertAlign w:val="baseline"/>
                              </w:rPr>
                              <w:t xml:space="preserve">: Barring Karnataka, Manipur, Meghalaya, Sikkim and Tripura, </w:t>
                            </w:r>
                            <w:r w:rsidDel="00000000" w:rsidR="00000000" w:rsidRPr="00000000">
                              <w:rPr>
                                <w:rFonts w:ascii="Calibri" w:cs="Calibri" w:eastAsia="Calibri" w:hAnsi="Calibri"/>
                                <w:b w:val="1"/>
                                <w:i w:val="0"/>
                                <w:smallCaps w:val="0"/>
                                <w:strike w:val="0"/>
                                <w:color w:val="000000"/>
                                <w:sz w:val="24"/>
                                <w:vertAlign w:val="baseline"/>
                              </w:rPr>
                              <w:t xml:space="preserve">1 in every two cases pending for more than three years in all High Courts</w:t>
                            </w:r>
                            <w:r w:rsidDel="00000000" w:rsidR="00000000" w:rsidRPr="00000000">
                              <w:rPr>
                                <w:rFonts w:ascii="Calibri" w:cs="Calibri" w:eastAsia="Calibri" w:hAnsi="Calibri"/>
                                <w:b w:val="0"/>
                                <w:i w:val="0"/>
                                <w:smallCaps w:val="0"/>
                                <w:strike w:val="0"/>
                                <w:color w:val="000000"/>
                                <w:sz w:val="24"/>
                                <w:vertAlign w:val="baseline"/>
                              </w:rPr>
                              <w:t xml:space="preserve">. At the district courts, Andaman &amp; Nicobar, Arunachal Pradesh, Bihar, Goa, Jharkhand, Maharashtra, Meghalaya, Odisha, Rajasthan, Uttar Pradesh and West Bengal record </w:t>
                            </w:r>
                            <w:r w:rsidDel="00000000" w:rsidR="00000000" w:rsidRPr="00000000">
                              <w:rPr>
                                <w:rFonts w:ascii="Calibri" w:cs="Calibri" w:eastAsia="Calibri" w:hAnsi="Calibri"/>
                                <w:b w:val="1"/>
                                <w:i w:val="0"/>
                                <w:smallCaps w:val="0"/>
                                <w:strike w:val="0"/>
                                <w:color w:val="000000"/>
                                <w:sz w:val="24"/>
                                <w:vertAlign w:val="baseline"/>
                              </w:rPr>
                              <w:t xml:space="preserve">over 40% of all cases pending for over three years</w:t>
                            </w:r>
                            <w:r w:rsidDel="00000000" w:rsidR="00000000" w:rsidRPr="00000000">
                              <w:rPr>
                                <w:rFonts w:ascii="Calibri" w:cs="Calibri" w:eastAsia="Calibri" w:hAnsi="Calibri"/>
                                <w:b w:val="0"/>
                                <w:i w:val="0"/>
                                <w:smallCaps w:val="0"/>
                                <w:strike w:val="0"/>
                                <w:color w:val="000000"/>
                                <w:sz w:val="24"/>
                                <w:vertAlign w:val="baseline"/>
                              </w:rPr>
                              <w:t xml:space="preserve">. </w:t>
                            </w:r>
                          </w:p>
                          <w:p w:rsidR="00000000" w:rsidDel="00000000" w:rsidP="00000000" w:rsidRDefault="00000000" w:rsidRPr="00000000">
                            <w:pPr>
                              <w:spacing w:after="0" w:before="0" w:line="240"/>
                              <w:ind w:left="72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Police:</w:t>
                            </w:r>
                            <w:r w:rsidDel="00000000" w:rsidR="00000000" w:rsidRPr="00000000">
                              <w:rPr>
                                <w:rFonts w:ascii="Calibri" w:cs="Calibri" w:eastAsia="Calibri" w:hAnsi="Calibri"/>
                                <w:b w:val="0"/>
                                <w:i w:val="0"/>
                                <w:smallCaps w:val="0"/>
                                <w:strike w:val="0"/>
                                <w:color w:val="000000"/>
                                <w:sz w:val="24"/>
                                <w:vertAlign w:val="baseline"/>
                              </w:rPr>
                              <w:t xml:space="preserve">Population per civil police: Nationally, 1 civil police personnel is available for 831 persons</w:t>
                            </w:r>
                          </w:p>
                          <w:p w:rsidR="00000000" w:rsidDel="00000000" w:rsidP="00000000" w:rsidRDefault="00000000" w:rsidRPr="00000000">
                            <w:pPr>
                              <w:spacing w:after="0" w:before="0" w:line="240"/>
                              <w:ind w:left="72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Prisons:</w:t>
                            </w:r>
                            <w:r w:rsidDel="00000000" w:rsidR="00000000" w:rsidRPr="00000000">
                              <w:rPr>
                                <w:rFonts w:ascii="Calibri" w:cs="Calibri" w:eastAsia="Calibri" w:hAnsi="Calibri"/>
                                <w:b w:val="0"/>
                                <w:i w:val="0"/>
                                <w:smallCaps w:val="0"/>
                                <w:strike w:val="0"/>
                                <w:color w:val="000000"/>
                                <w:sz w:val="24"/>
                                <w:vertAlign w:val="baseline"/>
                              </w:rPr>
                              <w:t xml:space="preserve">Medical Officers: India has only 740 medical officers for its over 573,220 prison inmates. This averages to one doctor for 775 inmates. There are only 25 psychologists/psychiatrists available across all prisons. </w:t>
                            </w:r>
                          </w:p>
                          <w:p w:rsidR="00000000" w:rsidDel="00000000" w:rsidP="00000000" w:rsidRDefault="00000000" w:rsidRPr="00000000">
                            <w:pPr>
                              <w:spacing w:after="0" w:before="0" w:line="240"/>
                              <w:ind w:left="72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9526</wp:posOffset>
                </wp:positionH>
                <wp:positionV relativeFrom="paragraph">
                  <wp:posOffset>47625</wp:posOffset>
                </wp:positionV>
                <wp:extent cx="6305550" cy="3352607"/>
                <wp:effectExtent b="0" l="0" r="0" t="0"/>
                <wp:wrapNone/>
                <wp:docPr id="24"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6305550" cy="3352607"/>
                        </a:xfrm>
                        <a:prstGeom prst="rect"/>
                        <a:ln/>
                      </pic:spPr>
                    </pic:pic>
                  </a:graphicData>
                </a:graphic>
              </wp:anchor>
            </w:drawing>
          </mc:Fallback>
        </mc:AlternateContent>
      </w:r>
    </w:p>
    <w:p w:rsidR="00000000" w:rsidDel="00000000" w:rsidP="00000000" w:rsidRDefault="00000000" w:rsidRPr="00000000" w14:paraId="0000013A">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3B">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3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3D">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3E">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3F">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0">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1">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2">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3">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4">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5">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6">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7">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8">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9">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A">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B">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D">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4E">
      <w:pPr>
        <w:rPr>
          <w:rFonts w:ascii="Calibri" w:cs="Calibri" w:eastAsia="Calibri" w:hAnsi="Calibri"/>
          <w:b w:val="1"/>
          <w:u w:val="singl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6310433" cy="2632515"/>
                <wp:effectExtent b="0" l="0" r="0" t="0"/>
                <wp:wrapNone/>
                <wp:docPr id="26" name=""/>
                <a:graphic>
                  <a:graphicData uri="http://schemas.microsoft.com/office/word/2010/wordprocessingShape">
                    <wps:wsp>
                      <wps:cNvSpPr/>
                      <wps:cNvPr id="5" name="Shape 5"/>
                      <wps:spPr>
                        <a:xfrm>
                          <a:off x="2195546" y="2470489"/>
                          <a:ext cx="6300908" cy="2619022"/>
                        </a:xfrm>
                        <a:prstGeom prst="rect">
                          <a:avLst/>
                        </a:prstGeom>
                        <a:solidFill>
                          <a:schemeClr val="lt1"/>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t xml:space="preserve">INFRASTRUCTURE</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4"/>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CCTVs:</w:t>
                            </w:r>
                            <w:r w:rsidDel="00000000" w:rsidR="00000000" w:rsidRPr="00000000">
                              <w:rPr>
                                <w:rFonts w:ascii="Calibri" w:cs="Calibri" w:eastAsia="Calibri" w:hAnsi="Calibri"/>
                                <w:b w:val="0"/>
                                <w:i w:val="0"/>
                                <w:smallCaps w:val="0"/>
                                <w:strike w:val="0"/>
                                <w:color w:val="000000"/>
                                <w:sz w:val="24"/>
                                <w:vertAlign w:val="baseline"/>
                              </w:rPr>
                              <w:t xml:space="preserve"> About 17% of police stations do not have a single CCTV. Nearly three in 10 police stations do not have women help desks.</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Occupancy:</w:t>
                            </w:r>
                            <w:r w:rsidDel="00000000" w:rsidR="00000000" w:rsidRPr="00000000">
                              <w:rPr>
                                <w:rFonts w:ascii="Calibri" w:cs="Calibri" w:eastAsia="Calibri" w:hAnsi="Calibri"/>
                                <w:b w:val="0"/>
                                <w:i w:val="0"/>
                                <w:smallCaps w:val="0"/>
                                <w:strike w:val="0"/>
                                <w:color w:val="000000"/>
                                <w:sz w:val="24"/>
                                <w:vertAlign w:val="baseline"/>
                              </w:rPr>
                              <w:t xml:space="preserve"> 56% (724 prisons) run above 100% capacity, with about 20% (262 prisons) recording occupancy rates between 150%-250%. </w:t>
                            </w:r>
                            <w:r w:rsidDel="00000000" w:rsidR="00000000" w:rsidRPr="00000000">
                              <w:rPr>
                                <w:rFonts w:ascii="Calibri" w:cs="Calibri" w:eastAsia="Calibri" w:hAnsi="Calibri"/>
                                <w:b w:val="1"/>
                                <w:i w:val="0"/>
                                <w:smallCaps w:val="0"/>
                                <w:strike w:val="0"/>
                                <w:color w:val="000000"/>
                                <w:sz w:val="24"/>
                                <w:vertAlign w:val="baseline"/>
                              </w:rPr>
                              <w:t xml:space="preserve">176 prisons in the country record occupancy rate of more than 200% </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r>
                          </w:p>
                          <w:p w:rsidR="00000000" w:rsidDel="00000000" w:rsidP="00000000" w:rsidRDefault="00000000" w:rsidRPr="00000000">
                            <w:pPr>
                              <w:spacing w:after="0" w:before="0" w:line="240"/>
                              <w:ind w:left="72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1"/>
                                <w:i w:val="0"/>
                                <w:smallCaps w:val="0"/>
                                <w:strike w:val="0"/>
                                <w:color w:val="000000"/>
                                <w:sz w:val="24"/>
                                <w:vertAlign w:val="baseline"/>
                              </w:rPr>
                              <w:t xml:space="preserve">Under-trials:</w:t>
                            </w:r>
                            <w:r w:rsidDel="00000000" w:rsidR="00000000" w:rsidRPr="00000000">
                              <w:rPr>
                                <w:rFonts w:ascii="Calibri" w:cs="Calibri" w:eastAsia="Calibri" w:hAnsi="Calibri"/>
                                <w:b w:val="0"/>
                                <w:i w:val="0"/>
                                <w:smallCaps w:val="0"/>
                                <w:strike w:val="0"/>
                                <w:color w:val="000000"/>
                                <w:sz w:val="24"/>
                                <w:vertAlign w:val="baseline"/>
                              </w:rPr>
                              <w:t xml:space="preserve"> With the exception of Arunachal Pradesh and Madhya Pradesh, the undertrial population of all states and Union Territories exceeds 60%. Delhi has the highest share of undertrials with 91% undertrial population in its prisons.</w:t>
                            </w:r>
                          </w:p>
                        </w:txbxContent>
                      </wps:txbx>
                      <wps:bodyPr anchorCtr="0" anchor="ctr"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63500</wp:posOffset>
                </wp:positionV>
                <wp:extent cx="6310433" cy="2632515"/>
                <wp:effectExtent b="0" l="0" r="0" t="0"/>
                <wp:wrapNone/>
                <wp:docPr id="26" name="image6.png"/>
                <a:graphic>
                  <a:graphicData uri="http://schemas.openxmlformats.org/drawingml/2006/picture">
                    <pic:pic>
                      <pic:nvPicPr>
                        <pic:cNvPr id="0" name="image6.png"/>
                        <pic:cNvPicPr preferRelativeResize="0"/>
                      </pic:nvPicPr>
                      <pic:blipFill>
                        <a:blip r:embed="rId8"/>
                        <a:srcRect/>
                        <a:stretch>
                          <a:fillRect/>
                        </a:stretch>
                      </pic:blipFill>
                      <pic:spPr>
                        <a:xfrm>
                          <a:off x="0" y="0"/>
                          <a:ext cx="6310433" cy="2632515"/>
                        </a:xfrm>
                        <a:prstGeom prst="rect"/>
                        <a:ln/>
                      </pic:spPr>
                    </pic:pic>
                  </a:graphicData>
                </a:graphic>
              </wp:anchor>
            </w:drawing>
          </mc:Fallback>
        </mc:AlternateContent>
      </w:r>
    </w:p>
    <w:p w:rsidR="00000000" w:rsidDel="00000000" w:rsidP="00000000" w:rsidRDefault="00000000" w:rsidRPr="00000000" w14:paraId="0000014F">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50">
      <w:pPr>
        <w:rPr>
          <w:rFonts w:ascii="Calibri" w:cs="Calibri" w:eastAsia="Calibri" w:hAnsi="Calibri"/>
          <w:b w:val="1"/>
          <w:highlight w:val="white"/>
          <w:u w:val="single"/>
        </w:rPr>
      </w:pPr>
      <w:r w:rsidDel="00000000" w:rsidR="00000000" w:rsidRPr="00000000">
        <w:rPr>
          <w:rtl w:val="0"/>
        </w:rPr>
      </w:r>
    </w:p>
    <w:p w:rsidR="00000000" w:rsidDel="00000000" w:rsidP="00000000" w:rsidRDefault="00000000" w:rsidRPr="00000000" w14:paraId="00000151">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2">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3">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4">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5">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6">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7">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8">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9">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A">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B">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C">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D">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5E">
      <w:pPr>
        <w:spacing w:line="240" w:lineRule="auto"/>
        <w:rPr>
          <w:rFonts w:ascii="Calibri" w:cs="Calibri" w:eastAsia="Calibri" w:hAnsi="Calibri"/>
        </w:rPr>
      </w:pPr>
      <w:r w:rsidDel="00000000" w:rsidR="00000000" w:rsidRPr="00000000">
        <w:rPr>
          <w:rtl w:val="0"/>
        </w:rPr>
      </w:r>
    </w:p>
    <w:sdt>
      <w:sdtPr>
        <w:lock w:val="contentLocked"/>
        <w:tag w:val="goog_rdk_0"/>
      </w:sdtPr>
      <w:sdtContent>
        <w:tbl>
          <w:tblPr>
            <w:tblStyle w:val="Table6"/>
            <w:tblpPr w:leftFromText="180" w:rightFromText="180" w:topFromText="180" w:bottomFromText="180" w:vertAnchor="text" w:horzAnchor="text" w:tblpX="0" w:tblpY="0"/>
            <w:tblW w:w="9735.0" w:type="dxa"/>
            <w:jc w:val="left"/>
            <w:tblInd w:w="-37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735"/>
            <w:tblGridChange w:id="0">
              <w:tblGrid>
                <w:gridCol w:w="9735"/>
              </w:tblGrid>
            </w:tblGridChange>
          </w:tblGrid>
          <w:tr>
            <w:trPr>
              <w:cantSplit w:val="0"/>
              <w:tblHeader w:val="0"/>
            </w:trPr>
            <w:tc>
              <w:tcPr/>
              <w:p w:rsidR="00000000" w:rsidDel="00000000" w:rsidP="00000000" w:rsidRDefault="00000000" w:rsidRPr="00000000" w14:paraId="0000015F">
                <w:pPr>
                  <w:spacing w:line="240" w:lineRule="auto"/>
                  <w:rPr>
                    <w:rFonts w:ascii="Calibri" w:cs="Calibri" w:eastAsia="Calibri" w:hAnsi="Calibri"/>
                    <w:b w:val="1"/>
                    <w:i w:val="1"/>
                  </w:rPr>
                </w:pPr>
                <w:r w:rsidDel="00000000" w:rsidR="00000000" w:rsidRPr="00000000">
                  <w:rPr>
                    <w:rFonts w:ascii="Calibri" w:cs="Calibri" w:eastAsia="Calibri" w:hAnsi="Calibri"/>
                    <w:b w:val="1"/>
                    <w:i w:val="1"/>
                    <w:rtl w:val="0"/>
                  </w:rPr>
                  <w:t xml:space="preserve">BUDGETS FOR JUSTICE AT A GLANCE</w:t>
                </w:r>
              </w:p>
              <w:p w:rsidR="00000000" w:rsidDel="00000000" w:rsidP="00000000" w:rsidRDefault="00000000" w:rsidRPr="00000000" w14:paraId="00000160">
                <w:pPr>
                  <w:spacing w:line="240" w:lineRule="auto"/>
                  <w:ind w:left="720" w:firstLine="0"/>
                  <w:rPr>
                    <w:rFonts w:ascii="Calibri" w:cs="Calibri" w:eastAsia="Calibri" w:hAnsi="Calibri"/>
                    <w:b w:val="1"/>
                    <w:i w:val="1"/>
                  </w:rPr>
                </w:pPr>
                <w:r w:rsidDel="00000000" w:rsidR="00000000" w:rsidRPr="00000000">
                  <w:rPr>
                    <w:rtl w:val="0"/>
                  </w:rPr>
                </w:r>
              </w:p>
              <w:p w:rsidR="00000000" w:rsidDel="00000000" w:rsidP="00000000" w:rsidRDefault="00000000" w:rsidRPr="00000000" w14:paraId="00000161">
                <w:pPr>
                  <w:numPr>
                    <w:ilvl w:val="0"/>
                    <w:numId w:val="8"/>
                  </w:numPr>
                  <w:spacing w:line="240" w:lineRule="auto"/>
                  <w:ind w:left="720" w:hanging="360"/>
                  <w:rPr>
                    <w:rFonts w:ascii="Calibri" w:cs="Calibri" w:eastAsia="Calibri" w:hAnsi="Calibri"/>
                  </w:rPr>
                </w:pPr>
                <w:r w:rsidDel="00000000" w:rsidR="00000000" w:rsidRPr="00000000">
                  <w:rPr>
                    <w:rFonts w:ascii="Calibri" w:cs="Calibri" w:eastAsia="Calibri" w:hAnsi="Calibri"/>
                    <w:b w:val="1"/>
                    <w:rtl w:val="0"/>
                  </w:rPr>
                  <w:t xml:space="preserve">Legal Aid: </w:t>
                </w:r>
                <w:r w:rsidDel="00000000" w:rsidR="00000000" w:rsidRPr="00000000">
                  <w:rPr>
                    <w:rFonts w:ascii="Calibri" w:cs="Calibri" w:eastAsia="Calibri" w:hAnsi="Calibri"/>
                    <w:rtl w:val="0"/>
                  </w:rPr>
                  <w:t xml:space="preserve">The national per capita spend on legal aid, is a meagre </w:t>
                </w:r>
                <w:r w:rsidDel="00000000" w:rsidR="00000000" w:rsidRPr="00000000">
                  <w:rPr>
                    <w:rFonts w:ascii="Calibri" w:cs="Calibri" w:eastAsia="Calibri" w:hAnsi="Calibri"/>
                    <w:b w:val="1"/>
                    <w:rtl w:val="0"/>
                  </w:rPr>
                  <w:t xml:space="preserve">Rs 6 </w:t>
                </w:r>
                <w:r w:rsidDel="00000000" w:rsidR="00000000" w:rsidRPr="00000000">
                  <w:rPr>
                    <w:rFonts w:ascii="Calibri" w:cs="Calibri" w:eastAsia="Calibri" w:hAnsi="Calibri"/>
                    <w:rtl w:val="0"/>
                  </w:rPr>
                  <w:t xml:space="preserve">per annum</w:t>
                </w:r>
              </w:p>
              <w:p w:rsidR="00000000" w:rsidDel="00000000" w:rsidP="00000000" w:rsidRDefault="00000000" w:rsidRPr="00000000" w14:paraId="00000162">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163">
                <w:pPr>
                  <w:numPr>
                    <w:ilvl w:val="0"/>
                    <w:numId w:val="1"/>
                  </w:numPr>
                  <w:spacing w:line="240" w:lineRule="auto"/>
                  <w:ind w:left="720" w:hanging="360"/>
                  <w:rPr>
                    <w:rFonts w:ascii="Calibri" w:cs="Calibri" w:eastAsia="Calibri" w:hAnsi="Calibri"/>
                  </w:rPr>
                </w:pPr>
                <w:r w:rsidDel="00000000" w:rsidR="00000000" w:rsidRPr="00000000">
                  <w:rPr>
                    <w:rFonts w:ascii="Calibri" w:cs="Calibri" w:eastAsia="Calibri" w:hAnsi="Calibri"/>
                    <w:b w:val="1"/>
                    <w:rtl w:val="0"/>
                  </w:rPr>
                  <w:t xml:space="preserve">Prisons: </w:t>
                </w:r>
                <w:r w:rsidDel="00000000" w:rsidR="00000000" w:rsidRPr="00000000">
                  <w:rPr>
                    <w:rFonts w:ascii="Calibri" w:cs="Calibri" w:eastAsia="Calibri" w:hAnsi="Calibri"/>
                    <w:rtl w:val="0"/>
                  </w:rPr>
                  <w:t xml:space="preserve">The national per capita spend on prisons is</w:t>
                </w:r>
                <w:r w:rsidDel="00000000" w:rsidR="00000000" w:rsidRPr="00000000">
                  <w:rPr>
                    <w:rFonts w:ascii="Calibri" w:cs="Calibri" w:eastAsia="Calibri" w:hAnsi="Calibri"/>
                    <w:b w:val="1"/>
                    <w:rtl w:val="0"/>
                  </w:rPr>
                  <w:t xml:space="preserve"> Rs. 57</w:t>
                </w:r>
                <w:r w:rsidDel="00000000" w:rsidR="00000000" w:rsidRPr="00000000">
                  <w:rPr>
                    <w:rFonts w:ascii="Calibri" w:cs="Calibri" w:eastAsia="Calibri" w:hAnsi="Calibri"/>
                    <w:rtl w:val="0"/>
                  </w:rPr>
                  <w:t xml:space="preserve">. In 2022-23, the national average spend per prisoner has increased to Rs 44,110 from Rs 38,028 in 2021-22 Andhra Pradesh records the highest annual spend on a prisoner at Rs.2,67,673.</w:t>
                </w:r>
              </w:p>
              <w:p w:rsidR="00000000" w:rsidDel="00000000" w:rsidP="00000000" w:rsidRDefault="00000000" w:rsidRPr="00000000" w14:paraId="00000164">
                <w:pPr>
                  <w:spacing w:line="240" w:lineRule="auto"/>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165">
                <w:pPr>
                  <w:numPr>
                    <w:ilvl w:val="0"/>
                    <w:numId w:val="1"/>
                  </w:numPr>
                  <w:spacing w:line="240" w:lineRule="auto"/>
                  <w:ind w:left="720" w:hanging="360"/>
                  <w:rPr>
                    <w:rFonts w:ascii="Calibri" w:cs="Calibri" w:eastAsia="Calibri" w:hAnsi="Calibri"/>
                  </w:rPr>
                </w:pPr>
                <w:r w:rsidDel="00000000" w:rsidR="00000000" w:rsidRPr="00000000">
                  <w:rPr>
                    <w:rFonts w:ascii="Calibri" w:cs="Calibri" w:eastAsia="Calibri" w:hAnsi="Calibri"/>
                    <w:b w:val="1"/>
                    <w:rtl w:val="0"/>
                  </w:rPr>
                  <w:t xml:space="preserve">Judiciary:</w:t>
                </w:r>
                <w:r w:rsidDel="00000000" w:rsidR="00000000" w:rsidRPr="00000000">
                  <w:rPr>
                    <w:rFonts w:ascii="Calibri" w:cs="Calibri" w:eastAsia="Calibri" w:hAnsi="Calibri"/>
                    <w:rtl w:val="0"/>
                  </w:rPr>
                  <w:t xml:space="preserve"> The national per capita spend on judiciary stands at</w:t>
                </w:r>
                <w:r w:rsidDel="00000000" w:rsidR="00000000" w:rsidRPr="00000000">
                  <w:rPr>
                    <w:rFonts w:ascii="Calibri" w:cs="Calibri" w:eastAsia="Calibri" w:hAnsi="Calibri"/>
                    <w:b w:val="1"/>
                    <w:rtl w:val="0"/>
                  </w:rPr>
                  <w:t xml:space="preserve"> Rs. 182.</w:t>
                </w:r>
                <w:r w:rsidDel="00000000" w:rsidR="00000000" w:rsidRPr="00000000">
                  <w:rPr>
                    <w:rFonts w:ascii="Calibri" w:cs="Calibri" w:eastAsia="Calibri" w:hAnsi="Calibri"/>
                    <w:rtl w:val="0"/>
                  </w:rPr>
                  <w:t xml:space="preserve"> No state spends more than one per cent of its total annual expenditure on the Judiciary. </w:t>
                </w:r>
              </w:p>
              <w:p w:rsidR="00000000" w:rsidDel="00000000" w:rsidP="00000000" w:rsidRDefault="00000000" w:rsidRPr="00000000" w14:paraId="00000166">
                <w:pPr>
                  <w:spacing w:line="240" w:lineRule="auto"/>
                  <w:ind w:left="720" w:firstLine="0"/>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167">
                <w:pPr>
                  <w:numPr>
                    <w:ilvl w:val="0"/>
                    <w:numId w:val="1"/>
                  </w:numPr>
                  <w:spacing w:line="240" w:lineRule="auto"/>
                  <w:ind w:left="720" w:hanging="360"/>
                  <w:rPr>
                    <w:rFonts w:ascii="Calibri" w:cs="Calibri" w:eastAsia="Calibri" w:hAnsi="Calibri"/>
                  </w:rPr>
                </w:pPr>
                <w:r w:rsidDel="00000000" w:rsidR="00000000" w:rsidRPr="00000000">
                  <w:rPr>
                    <w:rFonts w:ascii="Calibri" w:cs="Calibri" w:eastAsia="Calibri" w:hAnsi="Calibri"/>
                    <w:b w:val="1"/>
                    <w:rtl w:val="0"/>
                  </w:rPr>
                  <w:t xml:space="preserve">Police:</w:t>
                </w:r>
                <w:r w:rsidDel="00000000" w:rsidR="00000000" w:rsidRPr="00000000">
                  <w:rPr>
                    <w:rFonts w:ascii="Calibri" w:cs="Calibri" w:eastAsia="Calibri" w:hAnsi="Calibri"/>
                    <w:rtl w:val="0"/>
                  </w:rPr>
                  <w:t xml:space="preserve"> The national per capita spend on police is at </w:t>
                </w:r>
                <w:r w:rsidDel="00000000" w:rsidR="00000000" w:rsidRPr="00000000">
                  <w:rPr>
                    <w:rFonts w:ascii="Calibri" w:cs="Calibri" w:eastAsia="Calibri" w:hAnsi="Calibri"/>
                    <w:b w:val="1"/>
                    <w:rtl w:val="0"/>
                  </w:rPr>
                  <w:t xml:space="preserve">Rs. 1,275</w:t>
                </w:r>
                <w:r w:rsidDel="00000000" w:rsidR="00000000" w:rsidRPr="00000000">
                  <w:rPr>
                    <w:rFonts w:ascii="Calibri" w:cs="Calibri" w:eastAsia="Calibri" w:hAnsi="Calibri"/>
                    <w:rtl w:val="0"/>
                  </w:rPr>
                  <w:t xml:space="preserve"> which is the highest among the four pillars.</w:t>
                </w:r>
              </w:p>
            </w:tc>
          </w:tr>
        </w:tbl>
      </w:sdtContent>
    </w:sdt>
    <w:p w:rsidR="00000000" w:rsidDel="00000000" w:rsidP="00000000" w:rsidRDefault="00000000" w:rsidRPr="00000000" w14:paraId="00000168">
      <w:pPr>
        <w:spacing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169">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6A">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6B">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6C">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6D">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6E">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6F">
      <w:pPr>
        <w:spacing w:line="24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170">
      <w:pPr>
        <w:spacing w:line="276" w:lineRule="auto"/>
        <w:rPr/>
      </w:pPr>
      <w:r w:rsidDel="00000000" w:rsidR="00000000" w:rsidRPr="00000000">
        <w:rPr>
          <w:rtl w:val="0"/>
        </w:rPr>
      </w:r>
    </w:p>
    <w:p w:rsidR="00000000" w:rsidDel="00000000" w:rsidP="00000000" w:rsidRDefault="00000000" w:rsidRPr="00000000" w14:paraId="00000171">
      <w:pPr>
        <w:spacing w:line="276" w:lineRule="auto"/>
        <w:rPr/>
      </w:pPr>
      <w:r w:rsidDel="00000000" w:rsidR="00000000" w:rsidRPr="00000000">
        <w:rPr>
          <w:rtl w:val="0"/>
        </w:rPr>
      </w:r>
    </w:p>
    <w:p w:rsidR="00000000" w:rsidDel="00000000" w:rsidP="00000000" w:rsidRDefault="00000000" w:rsidRPr="00000000" w14:paraId="00000172">
      <w:pPr>
        <w:spacing w:line="276" w:lineRule="auto"/>
        <w:rPr/>
      </w:pPr>
      <w:r w:rsidDel="00000000" w:rsidR="00000000" w:rsidRPr="00000000">
        <w:rPr>
          <w:rtl w:val="0"/>
        </w:rPr>
      </w:r>
    </w:p>
    <w:p w:rsidR="00000000" w:rsidDel="00000000" w:rsidP="00000000" w:rsidRDefault="00000000" w:rsidRPr="00000000" w14:paraId="00000173">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74">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75">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76">
      <w:pPr>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177">
      <w:pPr>
        <w:spacing w:line="240" w:lineRule="auto"/>
        <w:rPr>
          <w:rFonts w:ascii="Calibri" w:cs="Calibri" w:eastAsia="Calibri" w:hAnsi="Calibri"/>
          <w:b w:val="1"/>
        </w:rPr>
      </w:pPr>
      <w:r w:rsidDel="00000000" w:rsidR="00000000" w:rsidRPr="00000000">
        <w:rPr>
          <w:rtl w:val="0"/>
        </w:rPr>
      </w:r>
    </w:p>
    <w:sectPr>
      <w:headerReference r:id="rId9" w:type="default"/>
      <w:footerReference r:id="rId10" w:type="default"/>
      <w:pgSz w:h="15840" w:w="12240" w:orient="portrait"/>
      <w:pgMar w:bottom="1440" w:top="1440" w:left="1440" w:right="1440" w:header="431" w:footer="45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79">
    <w:pPr>
      <w:ind w:left="-1260" w:right="-1260" w:firstLine="0"/>
      <w:jc w:val="center"/>
      <w:rPr/>
    </w:pPr>
    <w:r w:rsidDel="00000000" w:rsidR="00000000" w:rsidRPr="00000000">
      <w:rPr/>
      <w:drawing>
        <wp:inline distB="114300" distT="114300" distL="114300" distR="114300">
          <wp:extent cx="5943600" cy="567690"/>
          <wp:effectExtent b="0" l="0" r="0" t="0"/>
          <wp:docPr id="29"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943600" cy="567690"/>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78">
    <w:pPr>
      <w:jc w:val="center"/>
      <w:rPr/>
    </w:pPr>
    <w:r w:rsidDel="00000000" w:rsidR="00000000" w:rsidRPr="00000000">
      <w:rPr/>
      <w:drawing>
        <wp:inline distB="114300" distT="114300" distL="114300" distR="114300">
          <wp:extent cx="1140178" cy="620888"/>
          <wp:effectExtent b="0" l="0" r="0" t="0"/>
          <wp:docPr descr="A red gavel on a black background&#10;&#10;Description automatically generated" id="28" name="image2.png"/>
          <a:graphic>
            <a:graphicData uri="http://schemas.openxmlformats.org/drawingml/2006/picture">
              <pic:pic>
                <pic:nvPicPr>
                  <pic:cNvPr descr="A red gavel on a black background&#10;&#10;Description automatically generated" id="0" name="image2.png"/>
                  <pic:cNvPicPr preferRelativeResize="0"/>
                </pic:nvPicPr>
                <pic:blipFill>
                  <a:blip r:embed="rId1"/>
                  <a:srcRect b="7586" l="0" r="0" t="0"/>
                  <a:stretch>
                    <a:fillRect/>
                  </a:stretch>
                </pic:blipFill>
                <pic:spPr>
                  <a:xfrm>
                    <a:off x="0" y="0"/>
                    <a:ext cx="1140178" cy="620888"/>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left w:w="115.0" w:type="dxa"/>
        <w:right w:w="115.0" w:type="dxa"/>
      </w:tblCellMar>
    </w:tblPr>
  </w:style>
  <w:style w:type="table" w:styleId="a1" w:customStyle="1">
    <w:basedOn w:val="TableNormal"/>
    <w:tblPr>
      <w:tblStyleRowBandSize w:val="1"/>
      <w:tblStyleColBandSize w:val="1"/>
      <w:tblCellMar>
        <w:top w:w="15.0" w:type="dxa"/>
        <w:left w:w="15.0" w:type="dxa"/>
        <w:bottom w:w="15.0" w:type="dxa"/>
        <w:right w:w="15.0" w:type="dxa"/>
      </w:tblCellMar>
    </w:tblPr>
  </w:style>
  <w:style w:type="table" w:styleId="a2" w:customStyle="1">
    <w:basedOn w:val="TableNormal"/>
    <w:tblPr>
      <w:tblStyleRowBandSize w:val="1"/>
      <w:tblStyleColBandSize w:val="1"/>
      <w:tblCellMar>
        <w:top w:w="15.0" w:type="dxa"/>
        <w:left w:w="15.0" w:type="dxa"/>
        <w:bottom w:w="15.0" w:type="dxa"/>
        <w:right w:w="15.0" w:type="dxa"/>
      </w:tblCellMar>
    </w:tblPr>
  </w:style>
  <w:style w:type="table" w:styleId="a3" w:customStyle="1">
    <w:basedOn w:val="TableNormal"/>
    <w:tblPr>
      <w:tblStyleRowBandSize w:val="1"/>
      <w:tblStyleColBandSize w:val="1"/>
      <w:tblCellMar>
        <w:top w:w="100.0" w:type="dxa"/>
        <w:left w:w="100.0" w:type="dxa"/>
        <w:bottom w:w="100.0" w:type="dxa"/>
        <w:right w:w="100.0" w:type="dxa"/>
      </w:tblCellMar>
    </w:tblPr>
  </w:style>
  <w:style w:type="table" w:styleId="a4" w:customStyle="1">
    <w:basedOn w:val="TableNormal"/>
    <w:tblPr>
      <w:tblStyleRowBandSize w:val="1"/>
      <w:tblStyleColBandSize w:val="1"/>
      <w:tblCellMar>
        <w:top w:w="100.0" w:type="dxa"/>
        <w:left w:w="100.0" w:type="dxa"/>
        <w:bottom w:w="100.0" w:type="dxa"/>
        <w:right w:w="100.0" w:type="dxa"/>
      </w:tblCellMar>
    </w:tblPr>
  </w:style>
  <w:style w:type="table" w:styleId="a5" w:customStyle="1">
    <w:basedOn w:val="TableNormal"/>
    <w:tblPr>
      <w:tblStyleRowBandSize w:val="1"/>
      <w:tblStyleColBandSize w:val="1"/>
      <w:tblCellMar>
        <w:top w:w="100.0" w:type="dxa"/>
        <w:left w:w="100.0" w:type="dxa"/>
        <w:bottom w:w="100.0" w:type="dxa"/>
        <w:right w:w="100.0" w:type="dxa"/>
      </w:tblCellMar>
    </w:tblPr>
  </w:style>
  <w:style w:type="table" w:styleId="a6" w:customStyle="1">
    <w:basedOn w:val="TableNormal"/>
    <w:tblPr>
      <w:tblStyleRowBandSize w:val="1"/>
      <w:tblStyleColBandSize w:val="1"/>
      <w:tblCellMar>
        <w:top w:w="100.0" w:type="dxa"/>
        <w:left w:w="100.0" w:type="dxa"/>
        <w:bottom w:w="100.0" w:type="dxa"/>
        <w:right w:w="100.0" w:type="dxa"/>
      </w:tblCellMar>
    </w:tblPr>
  </w:style>
  <w:style w:type="table" w:styleId="a7" w:customStyle="1">
    <w:basedOn w:val="TableNormal"/>
    <w:tblPr>
      <w:tblStyleRowBandSize w:val="1"/>
      <w:tblStyleColBandSize w:val="1"/>
      <w:tblCellMar>
        <w:top w:w="100.0" w:type="dxa"/>
        <w:left w:w="100.0" w:type="dxa"/>
        <w:bottom w:w="100.0" w:type="dxa"/>
        <w:right w:w="100.0" w:type="dxa"/>
      </w:tblCellMar>
    </w:tblPr>
  </w:style>
  <w:style w:type="table" w:styleId="a8" w:customStyle="1">
    <w:basedOn w:val="TableNormal"/>
    <w:tblPr>
      <w:tblStyleRowBandSize w:val="1"/>
      <w:tblStyleColBandSize w:val="1"/>
      <w:tblCellMar>
        <w:top w:w="100.0" w:type="dxa"/>
        <w:left w:w="100.0" w:type="dxa"/>
        <w:bottom w:w="100.0" w:type="dxa"/>
        <w:right w:w="100.0" w:type="dxa"/>
      </w:tblCellMar>
    </w:tblPr>
  </w:style>
  <w:style w:type="character" w:styleId="Hyperlink">
    <w:name w:val="Hyperlink"/>
    <w:basedOn w:val="DefaultParagraphFont"/>
    <w:uiPriority w:val="99"/>
    <w:unhideWhenUsed w:val="1"/>
    <w:rsid w:val="009E70FD"/>
    <w:rPr>
      <w:color w:val="0000ff" w:themeColor="hyperlink"/>
      <w:u w:val="single"/>
    </w:rPr>
  </w:style>
  <w:style w:type="paragraph" w:styleId="ListParagraph">
    <w:name w:val="List Paragraph"/>
    <w:basedOn w:val="Normal"/>
    <w:uiPriority w:val="34"/>
    <w:qFormat w:val="1"/>
    <w:rsid w:val="009E70FD"/>
    <w:pPr>
      <w:ind w:left="720"/>
      <w:contextualSpacing w:val="1"/>
    </w:pPr>
    <w:rPr>
      <w:rFonts w:cs="Mangal"/>
      <w:szCs w:val="20"/>
      <w:lang w:bidi="hi-IN"/>
    </w:rPr>
  </w:style>
  <w:style w:type="paragraph" w:styleId="Header">
    <w:name w:val="header"/>
    <w:basedOn w:val="Normal"/>
    <w:link w:val="HeaderChar"/>
    <w:uiPriority w:val="99"/>
    <w:unhideWhenUsed w:val="1"/>
    <w:rsid w:val="009E70FD"/>
    <w:pPr>
      <w:tabs>
        <w:tab w:val="center" w:pos="4513"/>
        <w:tab w:val="right" w:pos="9026"/>
      </w:tabs>
      <w:spacing w:line="240" w:lineRule="auto"/>
    </w:pPr>
  </w:style>
  <w:style w:type="character" w:styleId="HeaderChar" w:customStyle="1">
    <w:name w:val="Header Char"/>
    <w:basedOn w:val="DefaultParagraphFont"/>
    <w:link w:val="Header"/>
    <w:uiPriority w:val="99"/>
    <w:rsid w:val="009E70FD"/>
  </w:style>
  <w:style w:type="paragraph" w:styleId="Footer">
    <w:name w:val="footer"/>
    <w:basedOn w:val="Normal"/>
    <w:link w:val="FooterChar"/>
    <w:uiPriority w:val="99"/>
    <w:unhideWhenUsed w:val="1"/>
    <w:rsid w:val="009E70FD"/>
    <w:pPr>
      <w:tabs>
        <w:tab w:val="center" w:pos="4513"/>
        <w:tab w:val="right" w:pos="9026"/>
      </w:tabs>
      <w:spacing w:line="240" w:lineRule="auto"/>
    </w:pPr>
  </w:style>
  <w:style w:type="character" w:styleId="FooterChar" w:customStyle="1">
    <w:name w:val="Footer Char"/>
    <w:basedOn w:val="DefaultParagraphFont"/>
    <w:link w:val="Footer"/>
    <w:uiPriority w:val="99"/>
    <w:rsid w:val="009E70FD"/>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indiajusticereport.org/" TargetMode="External"/><Relationship Id="rId8"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8kQKrGpd29ZrHXKsSRPPwkrg+Xg==">CgMxLjAaHwoBMBIaChgICVIUChJ0YWJsZS5qZHA5M3Z1Y3k1bGI4AHIhMWJRRlI1WGtwT2JEZ1NOWVprT2ZfYksxcUVqb3Y1ZFVB</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2025-04-11T10:16:00Z</dcterms:created>
</cp:coreProperties>
</file>