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Highest per capita spend on police; 40% vacancy among High Court judges</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Punjab ranks 9th reveals India Justice Report 2025</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Punjab improves ranks significantly in legal aid and police </w:t>
      </w:r>
    </w:p>
    <w:p w:rsidR="00000000" w:rsidDel="00000000" w:rsidP="00000000" w:rsidRDefault="00000000" w:rsidRPr="00000000" w14:paraId="00000007">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 1 civil police personnel deployed for every 504 people, it has the best population per civil police ratio in the country </w:t>
      </w:r>
    </w:p>
    <w:p w:rsidR="00000000" w:rsidDel="00000000" w:rsidP="00000000" w:rsidRDefault="00000000" w:rsidRPr="00000000" w14:paraId="0000000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has 52% female judges in the district judiciary and 25% in the High Court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HC Judge vacancy increased from  22% (in 2022) to 40%  (in 2025), HC staff vacancy too increased from 23 % to 35% </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Spends the second lowest per inmate among all large states (Rs. 17,821 annually)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Chandigarh:</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Punjab 9th overall (2022:10th) among the 18 Large and Mid-sized states (with populations of over one crore each). The state ranked 2nd in Legal Aid (2022: 9th) and 7th in Police (2022:13th).</w:t>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7">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Punjab’s Ranks: Pillar Wise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0"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010"/>
        <w:gridCol w:w="1680"/>
        <w:tblGridChange w:id="0">
          <w:tblGrid>
            <w:gridCol w:w="2220"/>
            <w:gridCol w:w="2010"/>
            <w:gridCol w:w="1680"/>
          </w:tblGrid>
        </w:tblGridChange>
      </w:tblGrid>
      <w:tr>
        <w:trPr>
          <w:cantSplit w:val="0"/>
          <w:tblHeader w:val="0"/>
        </w:trPr>
        <w:tc>
          <w:tcPr/>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4</w:t>
            </w:r>
          </w:p>
        </w:tc>
        <w:tc>
          <w:tcPr/>
          <w:p w:rsidR="00000000" w:rsidDel="00000000" w:rsidP="00000000" w:rsidRDefault="00000000" w:rsidRPr="00000000" w14:paraId="0000001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3</w:t>
            </w:r>
          </w:p>
        </w:tc>
      </w:tr>
      <w:tr>
        <w:trPr>
          <w:cantSplit w:val="0"/>
          <w:tblHeader w:val="0"/>
        </w:trPr>
        <w:tc>
          <w:tcPr/>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OVERALL</w:t>
            </w:r>
          </w:p>
        </w:tc>
        <w:tc>
          <w:tcPr/>
          <w:p w:rsidR="00000000" w:rsidDel="00000000" w:rsidP="00000000" w:rsidRDefault="00000000" w:rsidRPr="00000000" w14:paraId="00000020">
            <w:pPr>
              <w:widowControl w:val="0"/>
              <w:spacing w:line="240" w:lineRule="auto"/>
              <w:jc w:val="center"/>
              <w:rPr>
                <w:rFonts w:ascii="Calibri" w:cs="Calibri" w:eastAsia="Calibri" w:hAnsi="Calibri"/>
                <w:b w:val="1"/>
                <w:color w:val="ff0000"/>
                <w:highlight w:val="green"/>
              </w:rPr>
            </w:pPr>
            <w:r w:rsidDel="00000000" w:rsidR="00000000" w:rsidRPr="00000000">
              <w:rPr>
                <w:rFonts w:ascii="Calibri" w:cs="Calibri" w:eastAsia="Calibri" w:hAnsi="Calibri"/>
                <w:b w:val="1"/>
                <w:color w:val="ff0000"/>
                <w:rtl w:val="0"/>
              </w:rPr>
              <w:t xml:space="preserve">9</w:t>
            </w:r>
            <w:r w:rsidDel="00000000" w:rsidR="00000000" w:rsidRPr="00000000">
              <w:rPr>
                <w:rtl w:val="0"/>
              </w:rPr>
            </w:r>
          </w:p>
        </w:tc>
        <w:tc>
          <w:tcPr/>
          <w:p w:rsidR="00000000" w:rsidDel="00000000" w:rsidP="00000000" w:rsidRDefault="00000000" w:rsidRPr="00000000" w14:paraId="0000002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22">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POLICE</w:t>
            </w:r>
          </w:p>
        </w:tc>
        <w:tc>
          <w:tcPr/>
          <w:p w:rsidR="00000000" w:rsidDel="00000000" w:rsidP="00000000" w:rsidRDefault="00000000" w:rsidRPr="00000000" w14:paraId="00000023">
            <w:pPr>
              <w:widowControl w:val="0"/>
              <w:spacing w:line="240" w:lineRule="auto"/>
              <w:jc w:val="center"/>
              <w:rPr>
                <w:rFonts w:ascii="Calibri" w:cs="Calibri" w:eastAsia="Calibri" w:hAnsi="Calibri"/>
                <w:b w:val="1"/>
                <w:color w:val="ff0000"/>
                <w:highlight w:val="white"/>
              </w:rPr>
            </w:pPr>
            <w:r w:rsidDel="00000000" w:rsidR="00000000" w:rsidRPr="00000000">
              <w:rPr>
                <w:rFonts w:ascii="Calibri" w:cs="Calibri" w:eastAsia="Calibri" w:hAnsi="Calibri"/>
                <w:b w:val="1"/>
                <w:color w:val="ff0000"/>
                <w:highlight w:val="white"/>
                <w:rtl w:val="0"/>
              </w:rPr>
              <w:t xml:space="preserve">7</w:t>
            </w:r>
          </w:p>
        </w:tc>
        <w:tc>
          <w:tcPr/>
          <w:p w:rsidR="00000000" w:rsidDel="00000000" w:rsidP="00000000" w:rsidRDefault="00000000" w:rsidRPr="00000000" w14:paraId="00000024">
            <w:pPr>
              <w:widowControl w:val="0"/>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13</w:t>
            </w:r>
          </w:p>
        </w:tc>
      </w:tr>
      <w:tr>
        <w:trPr>
          <w:cantSplit w:val="0"/>
          <w:tblHeader w:val="0"/>
        </w:trPr>
        <w:tc>
          <w:tcPr/>
          <w:p w:rsidR="00000000" w:rsidDel="00000000" w:rsidP="00000000" w:rsidRDefault="00000000" w:rsidRPr="00000000" w14:paraId="000000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PRISONS</w:t>
            </w:r>
          </w:p>
        </w:tc>
        <w:tc>
          <w:tcPr/>
          <w:p w:rsidR="00000000" w:rsidDel="00000000" w:rsidP="00000000" w:rsidRDefault="00000000" w:rsidRPr="00000000" w14:paraId="00000026">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15</w:t>
            </w:r>
          </w:p>
        </w:tc>
        <w:tc>
          <w:tcPr/>
          <w:p w:rsidR="00000000" w:rsidDel="00000000" w:rsidP="00000000" w:rsidRDefault="00000000" w:rsidRPr="00000000" w14:paraId="0000002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12</w:t>
            </w:r>
          </w:p>
        </w:tc>
      </w:tr>
      <w:tr>
        <w:trPr>
          <w:cantSplit w:val="0"/>
          <w:tblHeader w:val="0"/>
        </w:trPr>
        <w:tc>
          <w:tcPr/>
          <w:p w:rsidR="00000000" w:rsidDel="00000000" w:rsidP="00000000" w:rsidRDefault="00000000" w:rsidRPr="00000000" w14:paraId="000000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JUDICIARY</w:t>
            </w:r>
          </w:p>
        </w:tc>
        <w:tc>
          <w:tcPr/>
          <w:p w:rsidR="00000000" w:rsidDel="00000000" w:rsidP="00000000" w:rsidRDefault="00000000" w:rsidRPr="00000000" w14:paraId="00000029">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7</w:t>
            </w:r>
          </w:p>
        </w:tc>
        <w:tc>
          <w:tcPr/>
          <w:p w:rsidR="00000000" w:rsidDel="00000000" w:rsidP="00000000" w:rsidRDefault="00000000" w:rsidRPr="00000000" w14:paraId="0000002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p w:rsidR="00000000" w:rsidDel="00000000" w:rsidP="00000000" w:rsidRDefault="00000000" w:rsidRPr="00000000" w14:paraId="0000002B">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LEGAL AID </w:t>
            </w:r>
          </w:p>
        </w:tc>
        <w:tc>
          <w:tcPr/>
          <w:p w:rsidR="00000000" w:rsidDel="00000000" w:rsidP="00000000" w:rsidRDefault="00000000" w:rsidRPr="00000000" w14:paraId="0000002C">
            <w:pPr>
              <w:widowControl w:val="0"/>
              <w:spacing w:line="240" w:lineRule="auto"/>
              <w:jc w:val="center"/>
              <w:rPr>
                <w:rFonts w:ascii="Calibri" w:cs="Calibri" w:eastAsia="Calibri" w:hAnsi="Calibri"/>
                <w:b w:val="1"/>
                <w:color w:val="ff0000"/>
                <w:highlight w:val="white"/>
              </w:rPr>
            </w:pPr>
            <w:r w:rsidDel="00000000" w:rsidR="00000000" w:rsidRPr="00000000">
              <w:rPr>
                <w:rFonts w:ascii="Calibri" w:cs="Calibri" w:eastAsia="Calibri" w:hAnsi="Calibri"/>
                <w:b w:val="1"/>
                <w:color w:val="ff0000"/>
                <w:highlight w:val="white"/>
                <w:rtl w:val="0"/>
              </w:rPr>
              <w:t xml:space="preserve">2</w:t>
            </w:r>
          </w:p>
        </w:tc>
        <w:tc>
          <w:tcPr/>
          <w:p w:rsidR="00000000" w:rsidDel="00000000" w:rsidP="00000000" w:rsidRDefault="00000000" w:rsidRPr="00000000" w14:paraId="0000002D">
            <w:pPr>
              <w:widowControl w:val="0"/>
              <w:spacing w:line="240" w:lineRule="auto"/>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9</w:t>
            </w:r>
          </w:p>
        </w:tc>
      </w:tr>
    </w:tbl>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Police: Improvement in Performance </w:t>
      </w:r>
    </w:p>
    <w:p w:rsidR="00000000" w:rsidDel="00000000" w:rsidP="00000000" w:rsidRDefault="00000000" w:rsidRPr="00000000" w14:paraId="0000003B">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rtl w:val="0"/>
        </w:rPr>
        <w:t xml:space="preserve">Punjab Police jumped up the ranks from the 13th to the 7th position this year. The state has the highest per capita spend on police (Rs. 2604) among all large states. With one civil police available for 504 people, it has the best population per civil police ratio. </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All Police stations in the state now have women helpdesks. It has also improved on the services provided by the state’s citizen portal.  </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Legal Aid: Rises to the Second Rank </w:t>
      </w:r>
    </w:p>
    <w:p w:rsidR="00000000" w:rsidDel="00000000" w:rsidP="00000000" w:rsidRDefault="00000000" w:rsidRPr="00000000" w14:paraId="00000041">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With a cumulative effect of improvement in the majority of the indicators, the State moved up to the second position in Legal Aid this year. It has a prominent share of women among panel lawyers (24%), paralegal volunteers (39%) as well as secretaries of the District Legal Services Authorities (64%). The state also has the highest utilisation of the NALSA funds received. </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Judiciary: Worrying increase in vacancies among High Court judges </w:t>
      </w:r>
    </w:p>
    <w:p w:rsidR="00000000" w:rsidDel="00000000" w:rsidP="00000000" w:rsidRDefault="00000000" w:rsidRPr="00000000" w14:paraId="0000004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The vacancy among HC judges nearly doubled from 22% (in 2022) to 40% (in 2025) while the HC staff vacancy too increased from 23 % to 35%.  It is pertinent to note that 67% of cases are pending for more than 3 years before the High Court of Punjab and Haryana. The shortfall in courthalls at the district level too has risen from 15% to 24%. </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The representation of women among judges however has improved, with 25% women judges at the High Court and 52% in the district courts. </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Prisons: Data records presence of no correctional staff in Punjab’s prisons </w:t>
      </w:r>
    </w:p>
    <w:p w:rsidR="00000000" w:rsidDel="00000000" w:rsidP="00000000" w:rsidRDefault="00000000" w:rsidRPr="00000000" w14:paraId="0000004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While Punjab’s prisons recorded slight improvement in vacancies among cadre and medical staff, there continues to be absolute vacancy among the correctional staff. Showing no overcrowding since the past 6 years, Punjab’s prisons now are back to being overcrowded (116% occupancy rate). 23% of the state’s prisons have occupancy rates between 150-250%. At just Rs. 17,821 annually, the state spends the second lowest per inmate after Maharashtra. </w:t>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4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50">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5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7">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9">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A">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B">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C">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5D">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7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7">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B1">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B3">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3" name=""/>
                <a:graphic>
                  <a:graphicData uri="http://schemas.microsoft.com/office/word/2010/wordprocessingShape">
                    <wps:wsp>
                      <wps:cNvSpPr/>
                      <wps:cNvPr id="2" name="Shape 2"/>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5" name=""/>
                <a:graphic>
                  <a:graphicData uri="http://schemas.microsoft.com/office/word/2010/wordprocessingShape">
                    <wps:wsp>
                      <wps:cNvSpPr/>
                      <wps:cNvPr id="4" name="Shape 4"/>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6" name=""/>
                <a:graphic>
                  <a:graphicData uri="http://schemas.microsoft.com/office/word/2010/wordprocessingShape">
                    <wps:wsp>
                      <wps:cNvSpPr/>
                      <wps:cNvPr id="5" name="Shape 5"/>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7" name=""/>
                <a:graphic>
                  <a:graphicData uri="http://schemas.microsoft.com/office/word/2010/wordprocessingShape">
                    <wps:wsp>
                      <wps:cNvSpPr/>
                      <wps:cNvPr id="6" name="Shape 6"/>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4" name=""/>
                <a:graphic>
                  <a:graphicData uri="http://schemas.microsoft.com/office/word/2010/wordprocessingShape">
                    <wps:wsp>
                      <wps:cNvSpPr/>
                      <wps:cNvPr id="3" name="Shape 3"/>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1">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2">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4">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6">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8">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spacing w:line="276" w:lineRule="auto"/>
        <w:rPr/>
      </w:pPr>
      <w:r w:rsidDel="00000000" w:rsidR="00000000" w:rsidRPr="00000000">
        <w:rPr>
          <w:rtl w:val="0"/>
        </w:rPr>
      </w:r>
    </w:p>
    <w:p w:rsidR="00000000" w:rsidDel="00000000" w:rsidP="00000000" w:rsidRDefault="00000000" w:rsidRPr="00000000" w14:paraId="00000143">
      <w:pPr>
        <w:spacing w:line="276" w:lineRule="auto"/>
        <w:rPr/>
      </w:pPr>
      <w:r w:rsidDel="00000000" w:rsidR="00000000" w:rsidRPr="00000000">
        <w:rPr>
          <w:rtl w:val="0"/>
        </w:rPr>
      </w:r>
    </w:p>
    <w:p w:rsidR="00000000" w:rsidDel="00000000" w:rsidP="00000000" w:rsidRDefault="00000000" w:rsidRPr="00000000" w14:paraId="00000144">
      <w:pPr>
        <w:spacing w:line="276" w:lineRule="auto"/>
        <w:rPr/>
      </w:pPr>
      <w:r w:rsidDel="00000000" w:rsidR="00000000" w:rsidRPr="00000000">
        <w:rPr>
          <w:rtl w:val="0"/>
        </w:rPr>
      </w:r>
    </w:p>
    <w:p w:rsidR="00000000" w:rsidDel="00000000" w:rsidP="00000000" w:rsidRDefault="00000000" w:rsidRPr="00000000" w14:paraId="00000145">
      <w:pPr>
        <w:spacing w:line="240" w:lineRule="auto"/>
        <w:rPr>
          <w:rFonts w:ascii="Calibri" w:cs="Calibri" w:eastAsia="Calibri" w:hAnsi="Calibri"/>
          <w:b w:val="1"/>
        </w:rPr>
      </w:pPr>
      <w:r w:rsidDel="00000000" w:rsidR="00000000" w:rsidRPr="00000000">
        <w:rPr>
          <w:rtl w:val="0"/>
        </w:rPr>
      </w:r>
    </w:p>
    <w:sectPr>
      <w:headerReference r:id="rId9" w:type="default"/>
      <w:footerReference r:id="rId10"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ind w:left="-1260" w:right="-1260" w:firstLine="0"/>
      <w:jc w:val="center"/>
      <w:rPr/>
    </w:pPr>
    <w:r w:rsidDel="00000000" w:rsidR="00000000" w:rsidRPr="00000000">
      <w:rPr/>
      <w:drawing>
        <wp:inline distB="114300" distT="114300" distL="114300" distR="114300">
          <wp:extent cx="5943600" cy="567690"/>
          <wp:effectExtent b="0" l="0" r="0" t="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1.png"/>
          <a:graphic>
            <a:graphicData uri="http://schemas.openxmlformats.org/drawingml/2006/picture">
              <pic:pic>
                <pic:nvPicPr>
                  <pic:cNvPr descr="A red gavel on a black background&#10;&#10;Description automatically generated" id="0" name="image1.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iajusticereport.org/"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Tf+dMQILwm5J3dK4NG+pbAd94w==">CgMxLjAaHwoBMBIaChgICVIUChJ0YWJsZS5qZHA5M3Z1Y3k1bGI4AHIhMVdMNG8zbFVKN2lya21tS0lzYXVvR0tCQl9NRFFYWXBo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