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Odisha district courts have 2% ST judges, reveals India Justice Report 2025</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p>
    <w:p w:rsidR="00000000" w:rsidDel="00000000" w:rsidP="00000000" w:rsidRDefault="00000000" w:rsidRPr="00000000" w14:paraId="0000000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Recorded a 30% increase in prison budget allocation and utilised over 90%. </w:t>
      </w:r>
    </w:p>
    <w:p w:rsidR="00000000" w:rsidDel="00000000" w:rsidP="00000000" w:rsidRDefault="00000000" w:rsidRPr="00000000" w14:paraId="0000000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Nearly one in every two district court judges </w:t>
      </w:r>
    </w:p>
    <w:p w:rsidR="00000000" w:rsidDel="00000000" w:rsidP="00000000" w:rsidRDefault="00000000" w:rsidRPr="00000000" w14:paraId="0000000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Added 10% prison capacity, the highest in the country, thereby ensuring no overcrowding</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p>
    <w:p w:rsidR="00000000" w:rsidDel="00000000" w:rsidP="00000000" w:rsidRDefault="00000000" w:rsidRPr="00000000" w14:paraId="0000000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Medical staff vacancy increased to 51% in 2022 from 46% in 2021</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 55% cases were pending for more than 3 years at both High Court and district courts. </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Odisha recorded poor representation of Scheduled Tribes among district judges - only 2% in 2025. ST reservation is 23%.</w:t>
      </w:r>
    </w:p>
    <w:p w:rsidR="00000000" w:rsidDel="00000000" w:rsidP="00000000" w:rsidRDefault="00000000" w:rsidRPr="00000000" w14:paraId="0000000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legal service clinic served 373 villages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 Bhubaneswar:</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ranks Odisha 6th in Prisons and 8th in Police, while overall it was ranked 8th (2022: 11th) among the 18 Large and Mid-sized states (with population of over one crore each).</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8">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said, “</w:t>
      </w:r>
      <w:r w:rsidDel="00000000" w:rsidR="00000000" w:rsidRPr="00000000">
        <w:rPr>
          <w:rFonts w:ascii="Calibri" w:cs="Calibri" w:eastAsia="Calibri" w:hAnsi="Calibri"/>
          <w:i w:val="1"/>
          <w:rtl w:val="0"/>
        </w:rPr>
        <w:t xml:space="preserve">It is heartening to note that Odisha took concrete steps to reduce overcrowding in its prisons. In 2021, taking note of the severe overcrowding in Odisha’s prisons which was highlighted by IJR 2020, the honourable Chief Justice of Odisha High Court had passed directions to the DG Prisons, and it is a result of the state’s positive actions that we see a remarkable improvement in Odisha’s prison ranking</w:t>
      </w:r>
      <w:r w:rsidDel="00000000" w:rsidR="00000000" w:rsidRPr="00000000">
        <w:rPr>
          <w:rFonts w:ascii="Calibri" w:cs="Calibri" w:eastAsia="Calibri" w:hAnsi="Calibri"/>
          <w:rtl w:val="0"/>
        </w:rPr>
        <w:t xml:space="preserve">.”</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Odisha’s Ranks: Pillar Wise </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tbl>
      <w:tblPr>
        <w:tblStyle w:val="Table1"/>
        <w:tblpPr w:leftFromText="180" w:rightFromText="180" w:topFromText="180" w:bottomFromText="180" w:vertAnchor="text" w:horzAnchor="text" w:tblpX="0" w:tblpY="0"/>
        <w:tblW w:w="5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965"/>
        <w:gridCol w:w="1680"/>
        <w:tblGridChange w:id="0">
          <w:tblGrid>
            <w:gridCol w:w="2265"/>
            <w:gridCol w:w="1965"/>
            <w:gridCol w:w="1680"/>
          </w:tblGrid>
        </w:tblGridChange>
      </w:tblGrid>
      <w:tr>
        <w:trPr>
          <w:cantSplit w:val="0"/>
          <w:tblHeader w:val="0"/>
        </w:trPr>
        <w:tc>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IJR 4</w:t>
            </w:r>
          </w:p>
        </w:tc>
        <w:tc>
          <w:tcPr/>
          <w:p w:rsidR="00000000" w:rsidDel="00000000" w:rsidP="00000000" w:rsidRDefault="00000000" w:rsidRPr="00000000" w14:paraId="0000001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IJR 3</w:t>
            </w:r>
          </w:p>
        </w:tc>
      </w:tr>
      <w:tr>
        <w:trPr>
          <w:cantSplit w:val="0"/>
          <w:tblHeader w:val="0"/>
        </w:trPr>
        <w:tc>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OVERALL</w:t>
            </w:r>
          </w:p>
        </w:tc>
        <w:tc>
          <w:tcPr/>
          <w:p w:rsidR="00000000" w:rsidDel="00000000" w:rsidP="00000000" w:rsidRDefault="00000000" w:rsidRPr="00000000" w14:paraId="00000021">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8</w:t>
            </w:r>
          </w:p>
        </w:tc>
        <w:tc>
          <w:tcPr/>
          <w:p w:rsidR="00000000" w:rsidDel="00000000" w:rsidP="00000000" w:rsidRDefault="00000000" w:rsidRPr="00000000" w14:paraId="0000002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blHeader w:val="0"/>
        </w:trPr>
        <w:tc>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POLICE</w:t>
            </w:r>
          </w:p>
        </w:tc>
        <w:tc>
          <w:tcPr/>
          <w:p w:rsidR="00000000" w:rsidDel="00000000" w:rsidP="00000000" w:rsidRDefault="00000000" w:rsidRPr="00000000" w14:paraId="00000024">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8</w:t>
            </w:r>
          </w:p>
        </w:tc>
        <w:tc>
          <w:tcPr/>
          <w:p w:rsidR="00000000" w:rsidDel="00000000" w:rsidP="00000000" w:rsidRDefault="00000000" w:rsidRPr="00000000" w14:paraId="0000002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PRISONS</w:t>
            </w:r>
          </w:p>
        </w:tc>
        <w:tc>
          <w:tcPr/>
          <w:p w:rsidR="00000000" w:rsidDel="00000000" w:rsidP="00000000" w:rsidRDefault="00000000" w:rsidRPr="00000000" w14:paraId="00000027">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6</w:t>
            </w:r>
          </w:p>
        </w:tc>
        <w:tc>
          <w:tcPr/>
          <w:p w:rsidR="00000000" w:rsidDel="00000000" w:rsidP="00000000" w:rsidRDefault="00000000" w:rsidRPr="00000000" w14:paraId="0000002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blHeader w:val="0"/>
        </w:trPr>
        <w:tc>
          <w:tcPr/>
          <w:p w:rsidR="00000000" w:rsidDel="00000000" w:rsidP="00000000" w:rsidRDefault="00000000" w:rsidRPr="00000000" w14:paraId="0000002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JUDICIARY</w:t>
            </w:r>
          </w:p>
        </w:tc>
        <w:tc>
          <w:tcPr/>
          <w:p w:rsidR="00000000" w:rsidDel="00000000" w:rsidP="00000000" w:rsidRDefault="00000000" w:rsidRPr="00000000" w14:paraId="0000002A">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12</w:t>
            </w:r>
          </w:p>
        </w:tc>
        <w:tc>
          <w:tcPr/>
          <w:p w:rsidR="00000000" w:rsidDel="00000000" w:rsidP="00000000" w:rsidRDefault="00000000" w:rsidRPr="00000000" w14:paraId="0000002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13</w:t>
            </w:r>
          </w:p>
        </w:tc>
      </w:tr>
      <w:tr>
        <w:trPr>
          <w:cantSplit w:val="0"/>
          <w:tblHeader w:val="0"/>
        </w:trPr>
        <w:tc>
          <w:tcPr/>
          <w:p w:rsidR="00000000" w:rsidDel="00000000" w:rsidP="00000000" w:rsidRDefault="00000000" w:rsidRPr="00000000" w14:paraId="000000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LEGAL AID </w:t>
            </w:r>
          </w:p>
        </w:tc>
        <w:tc>
          <w:tcPr/>
          <w:p w:rsidR="00000000" w:rsidDel="00000000" w:rsidP="00000000" w:rsidRDefault="00000000" w:rsidRPr="00000000" w14:paraId="0000002D">
            <w:pPr>
              <w:widowControl w:val="0"/>
              <w:spacing w:line="240" w:lineRule="auto"/>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8</w:t>
            </w:r>
          </w:p>
        </w:tc>
        <w:tc>
          <w:tcPr/>
          <w:p w:rsidR="00000000" w:rsidDel="00000000" w:rsidP="00000000" w:rsidRDefault="00000000" w:rsidRPr="00000000" w14:paraId="0000002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r>
    </w:tbl>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Improving capacity in prisons</w:t>
      </w:r>
    </w:p>
    <w:p w:rsidR="00000000" w:rsidDel="00000000" w:rsidP="00000000" w:rsidRDefault="00000000" w:rsidRPr="00000000" w14:paraId="0000003C">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Odisha’s 92 prisons recorded an average occupancy rate of 83% in 2022, down from 99% in 2021. It recorded no prisons with over 250% occupancy and only 2.2% with an occupancy between 150-250% - the lowest among large states. Budget allocation towards prisons improved by 30% between 2021-22 and 2022-23 and consequently there was a 59% increase in spend per inmate. </w:t>
      </w:r>
    </w:p>
    <w:p w:rsidR="00000000" w:rsidDel="00000000" w:rsidP="00000000" w:rsidRDefault="00000000" w:rsidRPr="00000000" w14:paraId="0000003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However, its prisons run with persistent, overall staff</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shortfall of 28%. Within the prison staff, nearly half of the medical staff is missing and there is a 63% shortfall among doctors. Correctional staff vacancy stood at 45%. </w:t>
      </w:r>
    </w:p>
    <w:p w:rsidR="00000000" w:rsidDel="00000000" w:rsidP="00000000" w:rsidRDefault="00000000" w:rsidRPr="00000000" w14:paraId="0000004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Increasing vacancies across justice system</w:t>
      </w:r>
    </w:p>
    <w:p w:rsidR="00000000" w:rsidDel="00000000" w:rsidP="00000000" w:rsidRDefault="00000000" w:rsidRPr="00000000" w14:paraId="00000042">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As of 2025 vacancies range from 46% in HC (second highest after Uttar Pradesh) and a 20% vacancy among district court judges. More than 1 in three HC staff was missing. In police, as of 2023, Odisha had 22% vacancy in constabulary and 24% among officers. In the Odisha Forensic department, 1 in every two scientific staff is missing in the forensic labs.</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2022, the state could meet ST and OBC quotas among the constabulary as it has fulfilled since 2016. Among ST officers however, there has been a shortfall of over 30% since 2010. Between 2010 and 2022, the state has been unable to meet SC quotas but has shown a steady improvement in filling positions among officers with vacancies reducing from 57% in 2010; 27% in 2016 to 17% in 2022. </w:t>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judiciary, however, Odisha records poor fulfilment of caste quotas. There was an 82% vacancy among SC judges; 98% among ST and 36% among OBC judges. Women accounted for just 6% among the higher judiciary - well below the 14% national average. In the lower judiciary, nearly half (48%) of all judges were women. </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legal aid, Odisha registered over 85% disposal of cases by Lok Adalats. Women accounted for 69% among DLSA secretaries - the highest in the country - and 38% among PLVs despite their numbers having halved since 2019. There were just 128 legal service clinics for its 48000 villages, averaging to one clinic serving 373 villages.</w:t>
      </w:r>
    </w:p>
    <w:p w:rsidR="00000000" w:rsidDel="00000000" w:rsidP="00000000" w:rsidRDefault="00000000" w:rsidRPr="00000000" w14:paraId="0000004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4C">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4D">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5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8">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56">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7">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58">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59">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5A">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5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7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7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74">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7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7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8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8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8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9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AE">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B0">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C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A">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6" name=""/>
                <a:graphic>
                  <a:graphicData uri="http://schemas.microsoft.com/office/word/2010/wordprocessingShape">
                    <wps:wsp>
                      <wps:cNvSpPr/>
                      <wps:cNvPr id="5" name="Shape 5"/>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C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4" name=""/>
                <a:graphic>
                  <a:graphicData uri="http://schemas.microsoft.com/office/word/2010/wordprocessingShape">
                    <wps:wsp>
                      <wps:cNvSpPr/>
                      <wps:cNvPr id="3" name="Shape 3"/>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0E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3" name=""/>
                <a:graphic>
                  <a:graphicData uri="http://schemas.microsoft.com/office/word/2010/wordprocessingShape">
                    <wps:wsp>
                      <wps:cNvSpPr/>
                      <wps:cNvPr id="2" name="Shape 2"/>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2822588"/>
                <wp:effectExtent b="0" l="0" r="0" t="0"/>
                <wp:wrapNone/>
                <wp:docPr id="27" name=""/>
                <a:graphic>
                  <a:graphicData uri="http://schemas.microsoft.com/office/word/2010/wordprocessingShape">
                    <wps:wsp>
                      <wps:cNvSpPr/>
                      <wps:cNvPr id="6" name="Shape 6"/>
                      <wps:spPr>
                        <a:xfrm>
                          <a:off x="2195550" y="1800175"/>
                          <a:ext cx="6300900" cy="2813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2822588"/>
                <wp:effectExtent b="0" l="0" r="0" t="0"/>
                <wp:wrapNone/>
                <wp:docPr id="2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310433" cy="2822588"/>
                        </a:xfrm>
                        <a:prstGeom prst="rect"/>
                        <a:ln/>
                      </pic:spPr>
                    </pic:pic>
                  </a:graphicData>
                </a:graphic>
              </wp:anchor>
            </w:drawing>
          </mc:Fallback>
        </mc:AlternateContent>
      </w:r>
    </w:p>
    <w:p w:rsidR="00000000" w:rsidDel="00000000" w:rsidP="00000000" w:rsidRDefault="00000000" w:rsidRPr="00000000" w14:paraId="0000010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5" name=""/>
                <a:graphic>
                  <a:graphicData uri="http://schemas.microsoft.com/office/word/2010/wordprocessingShape">
                    <wps:wsp>
                      <wps:cNvSpPr/>
                      <wps:cNvPr id="4" name="Shape 4"/>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2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0"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30">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31">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3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33">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3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37">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3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1">
      <w:pPr>
        <w:spacing w:line="276" w:lineRule="auto"/>
        <w:rPr/>
      </w:pPr>
      <w:r w:rsidDel="00000000" w:rsidR="00000000" w:rsidRPr="00000000">
        <w:rPr>
          <w:rtl w:val="0"/>
        </w:rPr>
      </w:r>
    </w:p>
    <w:p w:rsidR="00000000" w:rsidDel="00000000" w:rsidP="00000000" w:rsidRDefault="00000000" w:rsidRPr="00000000" w14:paraId="00000142">
      <w:pPr>
        <w:spacing w:line="276" w:lineRule="auto"/>
        <w:rPr/>
      </w:pPr>
      <w:r w:rsidDel="00000000" w:rsidR="00000000" w:rsidRPr="00000000">
        <w:rPr>
          <w:rtl w:val="0"/>
        </w:rPr>
      </w:r>
    </w:p>
    <w:p w:rsidR="00000000" w:rsidDel="00000000" w:rsidP="00000000" w:rsidRDefault="00000000" w:rsidRPr="00000000" w14:paraId="00000143">
      <w:pPr>
        <w:spacing w:line="276" w:lineRule="auto"/>
        <w:rPr/>
      </w:pPr>
      <w:r w:rsidDel="00000000" w:rsidR="00000000" w:rsidRPr="00000000">
        <w:rPr>
          <w:rtl w:val="0"/>
        </w:rPr>
      </w:r>
    </w:p>
    <w:p w:rsidR="00000000" w:rsidDel="00000000" w:rsidP="00000000" w:rsidRDefault="00000000" w:rsidRPr="00000000" w14:paraId="00000144">
      <w:pPr>
        <w:spacing w:line="240" w:lineRule="auto"/>
        <w:rPr>
          <w:rFonts w:ascii="Calibri" w:cs="Calibri" w:eastAsia="Calibri" w:hAnsi="Calibri"/>
          <w:b w:val="1"/>
        </w:rPr>
      </w:pPr>
      <w:r w:rsidDel="00000000" w:rsidR="00000000" w:rsidRPr="00000000">
        <w:rPr>
          <w:rtl w:val="0"/>
        </w:rPr>
      </w:r>
    </w:p>
    <w:sectPr>
      <w:headerReference r:id="rId10" w:type="default"/>
      <w:footerReference r:id="rId11"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ind w:left="-1260" w:right="-1260" w:firstLine="0"/>
      <w:jc w:val="center"/>
      <w:rPr/>
    </w:pPr>
    <w:r w:rsidDel="00000000" w:rsidR="00000000" w:rsidRPr="00000000">
      <w:rPr/>
      <w:drawing>
        <wp:inline distB="114300" distT="114300" distL="114300" distR="114300">
          <wp:extent cx="5943600" cy="567690"/>
          <wp:effectExtent b="0" l="0" r="0" t="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6769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5">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Overall staff includes officers, cadre staff, correctional staff, medical staff and medical officers,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2.png"/>
          <a:graphic>
            <a:graphicData uri="http://schemas.openxmlformats.org/drawingml/2006/picture">
              <pic:pic>
                <pic:nvPicPr>
                  <pic:cNvPr descr="A red gavel on a black background&#10;&#10;Description automatically generated" id="0" name="image2.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6.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indiajusticerepor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jiDE5YYVcwFyZg718QJAZ1wxAw==">CgMxLjAaHwoBMBIaChgICVIUChJ0YWJsZS5qZHA5M3Z1Y3k1bGI4AHIhMW9pRDg3WTluUWwzdE5nQnF4a2xKYUdaWVZTM1B2V0d0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2025-04-11T10:16:00Z</dcterms:created>
</cp:coreProperties>
</file>